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89AFF" w14:textId="59D42807" w:rsidR="000E2A62" w:rsidRPr="0052548E" w:rsidRDefault="000E2A62" w:rsidP="000E2A62">
      <w:pPr>
        <w:tabs>
          <w:tab w:val="center" w:pos="4536"/>
          <w:tab w:val="right" w:pos="8280"/>
          <w:tab w:val="right" w:pos="9639"/>
        </w:tabs>
        <w:ind w:right="2"/>
        <w:rPr>
          <w:rFonts w:ascii="Arial" w:hAnsi="Arial" w:cs="Arial"/>
          <w:b/>
          <w:bCs/>
          <w:sz w:val="28"/>
        </w:rPr>
      </w:pPr>
      <w:r w:rsidRPr="00590E98">
        <w:rPr>
          <w:rFonts w:ascii="Arial" w:hAnsi="Arial" w:cs="Arial"/>
          <w:b/>
          <w:bCs/>
          <w:sz w:val="28"/>
        </w:rPr>
        <w:t>3GPP TSG RAN WG1 #96bis</w:t>
      </w:r>
      <w:r w:rsidRPr="00590E98">
        <w:rPr>
          <w:rFonts w:ascii="Arial" w:hAnsi="Arial" w:cs="Arial"/>
          <w:b/>
          <w:bCs/>
          <w:sz w:val="28"/>
        </w:rPr>
        <w:tab/>
      </w:r>
      <w:r w:rsidRPr="00590E98">
        <w:rPr>
          <w:rFonts w:ascii="Arial" w:hAnsi="Arial" w:cs="Arial"/>
          <w:b/>
          <w:bCs/>
          <w:sz w:val="28"/>
        </w:rPr>
        <w:tab/>
      </w:r>
      <w:r w:rsidRPr="00590E98">
        <w:rPr>
          <w:rFonts w:ascii="Arial" w:hAnsi="Arial" w:cs="Arial"/>
          <w:b/>
          <w:bCs/>
          <w:sz w:val="28"/>
        </w:rPr>
        <w:tab/>
        <w:t>R1-19</w:t>
      </w:r>
      <w:r w:rsidR="00590E98" w:rsidRPr="00590E98">
        <w:rPr>
          <w:rFonts w:ascii="Arial" w:hAnsi="Arial" w:cs="Arial"/>
          <w:b/>
          <w:bCs/>
          <w:sz w:val="28"/>
        </w:rPr>
        <w:t>04951</w:t>
      </w:r>
      <w:bookmarkStart w:id="0" w:name="_GoBack"/>
      <w:bookmarkEnd w:id="0"/>
    </w:p>
    <w:p w14:paraId="01EF1237" w14:textId="77777777" w:rsidR="000E2A62" w:rsidRPr="009513AC" w:rsidRDefault="000E2A62" w:rsidP="000E2A62">
      <w:pPr>
        <w:tabs>
          <w:tab w:val="center" w:pos="4536"/>
          <w:tab w:val="right" w:pos="9072"/>
        </w:tabs>
        <w:rPr>
          <w:rFonts w:ascii="Arial" w:eastAsia="ＭＳ 明朝" w:hAnsi="Arial" w:cs="Arial"/>
          <w:b/>
          <w:bCs/>
          <w:sz w:val="28"/>
        </w:rPr>
      </w:pPr>
      <w:r>
        <w:rPr>
          <w:rFonts w:ascii="Arial" w:eastAsia="ＭＳ 明朝" w:hAnsi="Arial" w:cs="Arial"/>
          <w:b/>
          <w:bCs/>
          <w:sz w:val="28"/>
        </w:rPr>
        <w:t>Xi’an, China, 8</w:t>
      </w:r>
      <w:r w:rsidRPr="008F5A33">
        <w:rPr>
          <w:rFonts w:ascii="Arial" w:eastAsia="ＭＳ 明朝" w:hAnsi="Arial" w:cs="Arial"/>
          <w:b/>
          <w:bCs/>
          <w:sz w:val="28"/>
          <w:vertAlign w:val="superscript"/>
        </w:rPr>
        <w:t>th</w:t>
      </w:r>
      <w:r>
        <w:rPr>
          <w:rFonts w:ascii="Arial" w:eastAsia="ＭＳ 明朝" w:hAnsi="Arial" w:cs="Arial"/>
          <w:b/>
          <w:bCs/>
          <w:sz w:val="28"/>
        </w:rPr>
        <w:t xml:space="preserve"> – 12</w:t>
      </w:r>
      <w:r w:rsidRPr="00363679">
        <w:rPr>
          <w:rFonts w:ascii="Arial" w:eastAsia="ＭＳ 明朝" w:hAnsi="Arial" w:cs="Arial"/>
          <w:b/>
          <w:bCs/>
          <w:sz w:val="28"/>
          <w:vertAlign w:val="superscript"/>
        </w:rPr>
        <w:t>th</w:t>
      </w:r>
      <w:r>
        <w:rPr>
          <w:rFonts w:ascii="Arial" w:eastAsia="ＭＳ 明朝" w:hAnsi="Arial" w:cs="Arial"/>
          <w:b/>
          <w:bCs/>
          <w:sz w:val="28"/>
        </w:rPr>
        <w:t xml:space="preserve"> April, 2019</w:t>
      </w:r>
    </w:p>
    <w:p w14:paraId="0B31F29E" w14:textId="77777777" w:rsidR="008A34D9" w:rsidRPr="000E2A62" w:rsidRDefault="008A34D9" w:rsidP="001640AD">
      <w:pPr>
        <w:pStyle w:val="a7"/>
        <w:ind w:left="1800" w:hanging="1800"/>
        <w:rPr>
          <w:rFonts w:eastAsia="ＭＳ ゴシック"/>
          <w:noProof w:val="0"/>
          <w:sz w:val="24"/>
          <w:lang w:eastAsia="ja-JP"/>
        </w:rPr>
      </w:pPr>
    </w:p>
    <w:p w14:paraId="16354F5F"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632BD4A" w14:textId="7B49F450" w:rsidR="00900DAE" w:rsidRPr="00034B54" w:rsidRDefault="00D02352" w:rsidP="00D02352">
      <w:pPr>
        <w:pStyle w:val="a7"/>
        <w:ind w:left="1800" w:hanging="1800"/>
        <w:rPr>
          <w:sz w:val="24"/>
          <w:lang w:val="en-US" w:eastAsia="ja-JP"/>
        </w:rPr>
      </w:pPr>
      <w:r w:rsidRPr="00034B54">
        <w:rPr>
          <w:sz w:val="24"/>
          <w:lang w:val="en-US"/>
        </w:rPr>
        <w:t>Title:</w:t>
      </w:r>
      <w:r w:rsidR="00DB782C" w:rsidRPr="00034B54">
        <w:rPr>
          <w:sz w:val="24"/>
          <w:lang w:val="en-US"/>
        </w:rPr>
        <w:tab/>
      </w:r>
      <w:r w:rsidR="00003D18">
        <w:rPr>
          <w:sz w:val="24"/>
          <w:lang w:val="en-US"/>
        </w:rPr>
        <w:t>HARQ e</w:t>
      </w:r>
      <w:r w:rsidR="003E6E73">
        <w:rPr>
          <w:sz w:val="24"/>
          <w:lang w:val="en-US" w:eastAsia="ja-JP"/>
        </w:rPr>
        <w:t>nhancement</w:t>
      </w:r>
      <w:r w:rsidR="00484F06">
        <w:rPr>
          <w:sz w:val="24"/>
          <w:lang w:val="en-US"/>
        </w:rPr>
        <w:t xml:space="preserve"> for NR-U</w:t>
      </w:r>
    </w:p>
    <w:p w14:paraId="33948831" w14:textId="7CE4608B"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1077F6">
        <w:rPr>
          <w:rFonts w:hint="eastAsia"/>
          <w:sz w:val="24"/>
          <w:lang w:val="en-US" w:eastAsia="ja-JP"/>
        </w:rPr>
        <w:t>7</w:t>
      </w:r>
      <w:r w:rsidR="00EA7428">
        <w:rPr>
          <w:sz w:val="24"/>
          <w:lang w:val="en-US" w:eastAsia="ja-JP"/>
        </w:rPr>
        <w:t>.</w:t>
      </w:r>
      <w:r w:rsidR="00EA7428">
        <w:rPr>
          <w:rFonts w:hint="eastAsia"/>
          <w:sz w:val="24"/>
          <w:lang w:val="en-US" w:eastAsia="ja-JP"/>
        </w:rPr>
        <w:t>2</w:t>
      </w:r>
      <w:r w:rsidR="00321046">
        <w:rPr>
          <w:sz w:val="24"/>
          <w:lang w:val="en-US" w:eastAsia="ja-JP"/>
        </w:rPr>
        <w:t>.</w:t>
      </w:r>
      <w:r w:rsidR="003E6E73">
        <w:rPr>
          <w:rFonts w:hint="eastAsia"/>
          <w:sz w:val="24"/>
          <w:lang w:val="en-US" w:eastAsia="ja-JP"/>
        </w:rPr>
        <w:t>2.2.</w:t>
      </w:r>
      <w:r w:rsidR="00003D18">
        <w:rPr>
          <w:sz w:val="24"/>
          <w:lang w:val="en-US" w:eastAsia="ja-JP"/>
        </w:rPr>
        <w:t>3</w:t>
      </w:r>
    </w:p>
    <w:p w14:paraId="64397E24"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0CA909B7" w14:textId="77777777" w:rsidR="001D2A61" w:rsidRPr="00EE092A" w:rsidRDefault="001D2A61"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BE674C4" w14:textId="182EE996" w:rsidR="00A97218" w:rsidRPr="00FB5B3C" w:rsidRDefault="00FB5B3C" w:rsidP="00956F10">
      <w:pPr>
        <w:spacing w:afterLines="50" w:after="120"/>
        <w:jc w:val="both"/>
        <w:rPr>
          <w:rFonts w:eastAsia="ＭＳ 明朝"/>
          <w:sz w:val="22"/>
          <w:szCs w:val="22"/>
          <w:lang w:val="en-US"/>
        </w:rPr>
      </w:pPr>
      <w:r w:rsidRPr="00E23458">
        <w:rPr>
          <w:rFonts w:eastAsia="ＭＳ 明朝" w:hint="eastAsia"/>
          <w:sz w:val="22"/>
          <w:szCs w:val="22"/>
          <w:lang w:val="en-US"/>
        </w:rPr>
        <w:t>At the RAN</w:t>
      </w:r>
      <w:r w:rsidR="000E2A62">
        <w:rPr>
          <w:rFonts w:eastAsia="ＭＳ 明朝"/>
          <w:sz w:val="22"/>
          <w:szCs w:val="22"/>
          <w:lang w:val="en-US"/>
        </w:rPr>
        <w:t>1</w:t>
      </w:r>
      <w:r w:rsidR="000E2A62">
        <w:rPr>
          <w:rFonts w:eastAsia="ＭＳ 明朝" w:hint="eastAsia"/>
          <w:sz w:val="22"/>
          <w:szCs w:val="22"/>
          <w:lang w:val="en-US"/>
        </w:rPr>
        <w:t>#96</w:t>
      </w:r>
      <w:r w:rsidRPr="00E23458">
        <w:rPr>
          <w:rFonts w:eastAsia="ＭＳ 明朝"/>
          <w:sz w:val="22"/>
          <w:szCs w:val="22"/>
          <w:lang w:val="en-US"/>
        </w:rPr>
        <w:t xml:space="preserve"> </w:t>
      </w:r>
      <w:r w:rsidRPr="00E23458">
        <w:rPr>
          <w:rFonts w:eastAsia="ＭＳ 明朝" w:hint="eastAsia"/>
          <w:sz w:val="22"/>
          <w:szCs w:val="22"/>
          <w:lang w:val="en-US"/>
        </w:rPr>
        <w:t xml:space="preserve">meeting, </w:t>
      </w:r>
      <w:r>
        <w:rPr>
          <w:rFonts w:eastAsia="ＭＳ 明朝"/>
          <w:sz w:val="22"/>
          <w:szCs w:val="22"/>
          <w:lang w:val="en-US"/>
        </w:rPr>
        <w:t>HARQ enhancement for NR-U was</w:t>
      </w:r>
      <w:r w:rsidRPr="00E23458">
        <w:rPr>
          <w:rFonts w:eastAsia="ＭＳ 明朝"/>
          <w:sz w:val="22"/>
          <w:szCs w:val="22"/>
          <w:lang w:val="en-US"/>
        </w:rPr>
        <w:t xml:space="preserve"> discussed and following agreements</w:t>
      </w:r>
      <w:r>
        <w:rPr>
          <w:rFonts w:eastAsia="ＭＳ 明朝"/>
          <w:sz w:val="22"/>
          <w:szCs w:val="22"/>
          <w:lang w:val="en-US"/>
        </w:rPr>
        <w:t xml:space="preserve"> </w:t>
      </w:r>
      <w:r w:rsidRPr="00E23458">
        <w:rPr>
          <w:rFonts w:eastAsia="ＭＳ 明朝"/>
          <w:sz w:val="22"/>
          <w:szCs w:val="22"/>
          <w:lang w:val="en-US"/>
        </w:rPr>
        <w:t>were made</w:t>
      </w:r>
      <w:r w:rsidRPr="00E23458">
        <w:rPr>
          <w:rFonts w:eastAsia="ＭＳ 明朝" w:hint="eastAsia"/>
          <w:sz w:val="22"/>
          <w:szCs w:val="22"/>
          <w:lang w:val="en-US"/>
        </w:rPr>
        <w:t xml:space="preserve"> [1].</w:t>
      </w:r>
      <w:r w:rsidRPr="00E23458">
        <w:rPr>
          <w:rFonts w:eastAsia="ＭＳ 明朝"/>
          <w:sz w:val="22"/>
          <w:szCs w:val="22"/>
          <w:lang w:val="en-US"/>
        </w:rPr>
        <w:t xml:space="preserve"> </w:t>
      </w:r>
    </w:p>
    <w:tbl>
      <w:tblPr>
        <w:tblStyle w:val="afa"/>
        <w:tblW w:w="0" w:type="auto"/>
        <w:tblLook w:val="04A0" w:firstRow="1" w:lastRow="0" w:firstColumn="1" w:lastColumn="0" w:noHBand="0" w:noVBand="1"/>
      </w:tblPr>
      <w:tblGrid>
        <w:gridCol w:w="9962"/>
      </w:tblGrid>
      <w:tr w:rsidR="00764120" w14:paraId="7FCA0205" w14:textId="77777777" w:rsidTr="00764120">
        <w:tc>
          <w:tcPr>
            <w:tcW w:w="9962" w:type="dxa"/>
          </w:tcPr>
          <w:p w14:paraId="44F4E51E" w14:textId="77777777" w:rsidR="000E2A62" w:rsidRPr="000E2A62" w:rsidRDefault="000E2A62" w:rsidP="000E2A62">
            <w:pPr>
              <w:rPr>
                <w:rFonts w:ascii="Times" w:eastAsia="Batang" w:hAnsi="Times"/>
                <w:sz w:val="20"/>
                <w:szCs w:val="24"/>
                <w:lang w:eastAsia="x-none"/>
              </w:rPr>
            </w:pPr>
            <w:r w:rsidRPr="000E2A62">
              <w:rPr>
                <w:rFonts w:ascii="Times" w:eastAsia="Batang" w:hAnsi="Times"/>
                <w:sz w:val="20"/>
                <w:szCs w:val="24"/>
                <w:highlight w:val="green"/>
                <w:lang w:eastAsia="x-none"/>
              </w:rPr>
              <w:t>Agreement:</w:t>
            </w:r>
          </w:p>
          <w:p w14:paraId="02068492" w14:textId="77777777" w:rsidR="000E2A62" w:rsidRPr="000E2A62" w:rsidRDefault="000E2A62" w:rsidP="000E2A62">
            <w:pPr>
              <w:rPr>
                <w:rFonts w:ascii="Times" w:eastAsia="Batang" w:hAnsi="Times"/>
                <w:sz w:val="20"/>
                <w:szCs w:val="24"/>
                <w:lang w:eastAsia="x-none"/>
              </w:rPr>
            </w:pPr>
            <w:r w:rsidRPr="000E2A62">
              <w:rPr>
                <w:rFonts w:ascii="Times" w:eastAsia="Batang" w:hAnsi="Times"/>
                <w:sz w:val="20"/>
                <w:szCs w:val="24"/>
                <w:lang w:eastAsia="x-none"/>
              </w:rPr>
              <w:t>Scheduling PUSCH over multiple slots/mini-slots by single DCI supports at least multiple continuous PUSCHs with separate TBs</w:t>
            </w:r>
          </w:p>
          <w:p w14:paraId="607EE953" w14:textId="2DD25053" w:rsidR="00764120" w:rsidRPr="000E2A62" w:rsidRDefault="000E2A62" w:rsidP="00FB5B3C">
            <w:pPr>
              <w:numPr>
                <w:ilvl w:val="0"/>
                <w:numId w:val="25"/>
              </w:numPr>
              <w:rPr>
                <w:rFonts w:ascii="Times" w:eastAsia="Batang" w:hAnsi="Times"/>
                <w:sz w:val="20"/>
                <w:szCs w:val="24"/>
                <w:lang w:eastAsia="x-none"/>
              </w:rPr>
            </w:pPr>
            <w:r w:rsidRPr="000E2A62">
              <w:rPr>
                <w:rFonts w:ascii="Times" w:eastAsia="Batang" w:hAnsi="Times"/>
                <w:sz w:val="20"/>
                <w:szCs w:val="24"/>
                <w:lang w:eastAsia="x-none"/>
              </w:rPr>
              <w:t>Each TB is mapped to at most one slot or one mini-slot</w:t>
            </w:r>
          </w:p>
        </w:tc>
      </w:tr>
    </w:tbl>
    <w:p w14:paraId="631A6163" w14:textId="55DFEC11" w:rsidR="00026F45" w:rsidRPr="001012F3" w:rsidRDefault="00796A0F" w:rsidP="00956F10">
      <w:pPr>
        <w:spacing w:afterLines="50" w:after="120"/>
        <w:jc w:val="both"/>
        <w:rPr>
          <w:rFonts w:eastAsia="ＭＳ 明朝"/>
          <w:sz w:val="22"/>
          <w:szCs w:val="22"/>
          <w:lang w:val="en-US"/>
        </w:rPr>
      </w:pPr>
      <w:r w:rsidRPr="001012F3">
        <w:rPr>
          <w:rFonts w:eastAsia="ＭＳ 明朝"/>
          <w:sz w:val="22"/>
          <w:szCs w:val="22"/>
          <w:lang w:val="en-US"/>
        </w:rPr>
        <w:t>I</w:t>
      </w:r>
      <w:r w:rsidR="00D264A5" w:rsidRPr="001012F3">
        <w:rPr>
          <w:rFonts w:eastAsia="ＭＳ 明朝"/>
          <w:sz w:val="22"/>
          <w:szCs w:val="22"/>
          <w:lang w:val="en-US"/>
        </w:rPr>
        <w:t xml:space="preserve">n this </w:t>
      </w:r>
      <w:r w:rsidR="001D5950" w:rsidRPr="001012F3">
        <w:rPr>
          <w:rFonts w:eastAsia="ＭＳ 明朝"/>
          <w:sz w:val="22"/>
          <w:szCs w:val="22"/>
          <w:lang w:val="en-US"/>
        </w:rPr>
        <w:t>contribution</w:t>
      </w:r>
      <w:r w:rsidR="00D264A5" w:rsidRPr="001012F3">
        <w:rPr>
          <w:rFonts w:eastAsia="ＭＳ 明朝"/>
          <w:sz w:val="22"/>
          <w:szCs w:val="22"/>
          <w:lang w:val="en-US"/>
        </w:rPr>
        <w:t xml:space="preserve">, </w:t>
      </w:r>
      <w:r w:rsidR="00594AA1" w:rsidRPr="001012F3">
        <w:rPr>
          <w:rFonts w:eastAsia="ＭＳ 明朝"/>
          <w:sz w:val="22"/>
          <w:szCs w:val="22"/>
          <w:lang w:val="en-US"/>
        </w:rPr>
        <w:t xml:space="preserve">we </w:t>
      </w:r>
      <w:r w:rsidR="001012F3" w:rsidRPr="001012F3">
        <w:rPr>
          <w:rFonts w:eastAsia="ＭＳ 明朝" w:hint="eastAsia"/>
          <w:sz w:val="22"/>
          <w:szCs w:val="22"/>
          <w:lang w:val="en-US"/>
        </w:rPr>
        <w:t>discuss</w:t>
      </w:r>
      <w:r w:rsidR="00764120">
        <w:rPr>
          <w:rFonts w:eastAsia="ＭＳ 明朝"/>
          <w:sz w:val="22"/>
          <w:szCs w:val="22"/>
          <w:lang w:val="en-US"/>
        </w:rPr>
        <w:t xml:space="preserve"> </w:t>
      </w:r>
      <w:r w:rsidR="00FB5B3C">
        <w:rPr>
          <w:rFonts w:eastAsia="ＭＳ 明朝"/>
          <w:sz w:val="22"/>
          <w:szCs w:val="22"/>
          <w:lang w:val="en-US"/>
        </w:rPr>
        <w:t xml:space="preserve">further </w:t>
      </w:r>
      <w:r w:rsidR="00764120">
        <w:rPr>
          <w:rFonts w:eastAsia="ＭＳ 明朝"/>
          <w:sz w:val="22"/>
          <w:szCs w:val="22"/>
          <w:lang w:val="en-US"/>
        </w:rPr>
        <w:t xml:space="preserve">on the </w:t>
      </w:r>
      <w:r w:rsidR="00003D18">
        <w:rPr>
          <w:rFonts w:eastAsia="ＭＳ 明朝"/>
          <w:sz w:val="22"/>
          <w:szCs w:val="22"/>
          <w:lang w:val="en-US"/>
        </w:rPr>
        <w:t>po</w:t>
      </w:r>
      <w:r w:rsidR="007C14FB">
        <w:rPr>
          <w:rFonts w:eastAsia="ＭＳ 明朝"/>
          <w:sz w:val="22"/>
          <w:szCs w:val="22"/>
          <w:lang w:val="en-US"/>
        </w:rPr>
        <w:t>tential</w:t>
      </w:r>
      <w:r w:rsidR="00003D18">
        <w:rPr>
          <w:rFonts w:eastAsia="ＭＳ 明朝"/>
          <w:sz w:val="22"/>
          <w:szCs w:val="22"/>
          <w:lang w:val="en-US"/>
        </w:rPr>
        <w:t xml:space="preserve"> HARQ enhancements</w:t>
      </w:r>
      <w:r w:rsidR="003E6E73">
        <w:rPr>
          <w:rFonts w:eastAsia="ＭＳ 明朝"/>
          <w:sz w:val="22"/>
          <w:szCs w:val="22"/>
          <w:lang w:val="en-US"/>
        </w:rPr>
        <w:t xml:space="preserve"> for NR-U operation</w:t>
      </w:r>
      <w:r w:rsidR="001012F3" w:rsidRPr="001012F3">
        <w:rPr>
          <w:rFonts w:eastAsia="ＭＳ 明朝" w:hint="eastAsia"/>
          <w:sz w:val="22"/>
          <w:szCs w:val="22"/>
          <w:lang w:val="en-US"/>
        </w:rPr>
        <w:t xml:space="preserve">. </w:t>
      </w:r>
    </w:p>
    <w:p w14:paraId="0DDCE2F2" w14:textId="43BD9BFF" w:rsidR="009517C5" w:rsidRPr="009517C5" w:rsidRDefault="00101A83" w:rsidP="009517C5">
      <w:pPr>
        <w:pStyle w:val="1"/>
        <w:numPr>
          <w:ilvl w:val="0"/>
          <w:numId w:val="6"/>
        </w:numPr>
        <w:spacing w:before="180" w:after="120"/>
        <w:rPr>
          <w:rFonts w:eastAsia="ＭＳ 明朝"/>
          <w:b/>
          <w:bCs/>
          <w:szCs w:val="24"/>
          <w:lang w:val="en-US"/>
        </w:rPr>
      </w:pPr>
      <w:r>
        <w:rPr>
          <w:rFonts w:eastAsia="ＭＳ 明朝" w:hint="eastAsia"/>
          <w:b/>
          <w:bCs/>
          <w:szCs w:val="24"/>
          <w:lang w:val="en-US"/>
        </w:rPr>
        <w:t xml:space="preserve">Discussion on </w:t>
      </w:r>
      <w:r w:rsidR="007C14FB">
        <w:rPr>
          <w:rFonts w:eastAsia="ＭＳ 明朝"/>
          <w:b/>
          <w:bCs/>
          <w:szCs w:val="24"/>
          <w:lang w:val="en-US"/>
        </w:rPr>
        <w:t xml:space="preserve">potential </w:t>
      </w:r>
      <w:r w:rsidR="00C20FA4">
        <w:rPr>
          <w:rFonts w:eastAsia="ＭＳ 明朝"/>
          <w:b/>
          <w:bCs/>
          <w:szCs w:val="24"/>
          <w:lang w:val="en-US"/>
        </w:rPr>
        <w:t>HARQ enhancements</w:t>
      </w:r>
    </w:p>
    <w:p w14:paraId="53D9D8A6" w14:textId="5E53AAE9" w:rsidR="004D7B4A" w:rsidRPr="00EA4CFF" w:rsidRDefault="004D7B4A" w:rsidP="004D7B4A">
      <w:pPr>
        <w:pStyle w:val="2"/>
        <w:rPr>
          <w:sz w:val="22"/>
          <w:szCs w:val="22"/>
        </w:rPr>
      </w:pPr>
      <w:r>
        <w:rPr>
          <w:rFonts w:hint="eastAsia"/>
          <w:sz w:val="22"/>
          <w:szCs w:val="22"/>
        </w:rPr>
        <w:t>2.1</w:t>
      </w:r>
      <w:r>
        <w:rPr>
          <w:rFonts w:hint="eastAsia"/>
          <w:sz w:val="22"/>
          <w:szCs w:val="22"/>
        </w:rPr>
        <w:tab/>
      </w:r>
      <w:r>
        <w:rPr>
          <w:sz w:val="22"/>
          <w:szCs w:val="22"/>
        </w:rPr>
        <w:t xml:space="preserve">High level </w:t>
      </w:r>
      <w:r w:rsidR="00C966B0">
        <w:rPr>
          <w:sz w:val="22"/>
          <w:szCs w:val="22"/>
        </w:rPr>
        <w:t xml:space="preserve">views on NR-U </w:t>
      </w:r>
      <w:r>
        <w:rPr>
          <w:sz w:val="22"/>
          <w:szCs w:val="22"/>
        </w:rPr>
        <w:t>design principle</w:t>
      </w:r>
    </w:p>
    <w:p w14:paraId="2BBEB2BF" w14:textId="0CA0698F" w:rsidR="004D7B4A" w:rsidRDefault="00C966B0" w:rsidP="004D7B4A">
      <w:pPr>
        <w:spacing w:afterLines="50" w:after="120"/>
        <w:rPr>
          <w:sz w:val="22"/>
          <w:szCs w:val="22"/>
        </w:rPr>
      </w:pPr>
      <w:r>
        <w:rPr>
          <w:rFonts w:hint="eastAsia"/>
          <w:sz w:val="22"/>
          <w:szCs w:val="22"/>
        </w:rPr>
        <w:t xml:space="preserve">NR-U WI </w:t>
      </w:r>
      <w:r>
        <w:rPr>
          <w:sz w:val="22"/>
          <w:szCs w:val="22"/>
        </w:rPr>
        <w:t>targets to support five scenarios including SA, CA with licensed NR, DC with licensed LTE and DC with licensed NR.</w:t>
      </w:r>
    </w:p>
    <w:tbl>
      <w:tblPr>
        <w:tblStyle w:val="afa"/>
        <w:tblW w:w="0" w:type="auto"/>
        <w:tblLook w:val="04A0" w:firstRow="1" w:lastRow="0" w:firstColumn="1" w:lastColumn="0" w:noHBand="0" w:noVBand="1"/>
      </w:tblPr>
      <w:tblGrid>
        <w:gridCol w:w="9962"/>
      </w:tblGrid>
      <w:tr w:rsidR="00C966B0" w14:paraId="4FF2AB43" w14:textId="77777777" w:rsidTr="00C966B0">
        <w:tc>
          <w:tcPr>
            <w:tcW w:w="9962" w:type="dxa"/>
          </w:tcPr>
          <w:p w14:paraId="7F93BDE6" w14:textId="77777777" w:rsidR="00C966B0" w:rsidRPr="00C966B0" w:rsidRDefault="00C966B0" w:rsidP="00C966B0">
            <w:pPr>
              <w:rPr>
                <w:rFonts w:eastAsia="游明朝"/>
                <w:bCs/>
                <w:sz w:val="20"/>
                <w:lang w:eastAsia="en-GB"/>
              </w:rPr>
            </w:pPr>
            <w:r w:rsidRPr="00C966B0">
              <w:rPr>
                <w:rFonts w:eastAsia="游明朝"/>
                <w:bCs/>
                <w:sz w:val="20"/>
                <w:lang w:eastAsia="en-GB"/>
              </w:rPr>
              <w:t xml:space="preserve">This work item is aimed at supporting the following scenarios: </w:t>
            </w:r>
          </w:p>
          <w:p w14:paraId="61E91A63"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A: Carrier aggregation between licensed band NR (</w:t>
            </w:r>
            <w:proofErr w:type="spellStart"/>
            <w:r w:rsidRPr="00C966B0">
              <w:rPr>
                <w:rFonts w:eastAsia="游明朝"/>
                <w:bCs/>
                <w:sz w:val="20"/>
                <w:lang w:eastAsia="en-GB"/>
              </w:rPr>
              <w:t>PCell</w:t>
            </w:r>
            <w:proofErr w:type="spellEnd"/>
            <w:r w:rsidRPr="00C966B0">
              <w:rPr>
                <w:rFonts w:eastAsia="游明朝"/>
                <w:bCs/>
                <w:sz w:val="20"/>
                <w:lang w:eastAsia="en-GB"/>
              </w:rPr>
              <w:t>) and NR-U (</w:t>
            </w:r>
            <w:proofErr w:type="spellStart"/>
            <w:r w:rsidRPr="00C966B0">
              <w:rPr>
                <w:rFonts w:eastAsia="游明朝"/>
                <w:bCs/>
                <w:sz w:val="20"/>
                <w:lang w:eastAsia="en-GB"/>
              </w:rPr>
              <w:t>SCell</w:t>
            </w:r>
            <w:proofErr w:type="spellEnd"/>
            <w:r w:rsidRPr="00C966B0">
              <w:rPr>
                <w:rFonts w:eastAsia="游明朝"/>
                <w:bCs/>
                <w:sz w:val="20"/>
                <w:lang w:eastAsia="en-GB"/>
              </w:rPr>
              <w:t xml:space="preserve">). </w:t>
            </w:r>
          </w:p>
          <w:p w14:paraId="46A62F4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NR-U </w:t>
            </w:r>
            <w:proofErr w:type="spellStart"/>
            <w:r w:rsidRPr="00C966B0">
              <w:rPr>
                <w:rFonts w:eastAsia="游明朝"/>
                <w:bCs/>
                <w:sz w:val="20"/>
                <w:lang w:eastAsia="en-GB"/>
              </w:rPr>
              <w:t>SCell</w:t>
            </w:r>
            <w:proofErr w:type="spellEnd"/>
            <w:r w:rsidRPr="00C966B0">
              <w:rPr>
                <w:rFonts w:eastAsia="游明朝"/>
                <w:bCs/>
                <w:sz w:val="20"/>
                <w:lang w:eastAsia="en-GB"/>
              </w:rPr>
              <w:t xml:space="preserve"> may have both DL and UL, or DL-only.</w:t>
            </w:r>
          </w:p>
          <w:p w14:paraId="7071163A"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In this scenario, NR </w:t>
            </w:r>
            <w:proofErr w:type="spellStart"/>
            <w:r w:rsidRPr="00C966B0">
              <w:rPr>
                <w:rFonts w:eastAsia="游明朝"/>
                <w:bCs/>
                <w:sz w:val="20"/>
                <w:lang w:eastAsia="en-GB"/>
              </w:rPr>
              <w:t>PCell</w:t>
            </w:r>
            <w:proofErr w:type="spellEnd"/>
            <w:r w:rsidRPr="00C966B0">
              <w:rPr>
                <w:rFonts w:eastAsia="游明朝"/>
                <w:bCs/>
                <w:sz w:val="20"/>
                <w:lang w:eastAsia="en-GB"/>
              </w:rPr>
              <w:t xml:space="preserve"> is connected to 5G-CN.</w:t>
            </w:r>
          </w:p>
          <w:p w14:paraId="3D6EA1F0"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B: Dual connectivity between licensed band LTE (</w:t>
            </w:r>
            <w:proofErr w:type="spellStart"/>
            <w:r w:rsidRPr="00C966B0">
              <w:rPr>
                <w:rFonts w:eastAsia="游明朝"/>
                <w:bCs/>
                <w:sz w:val="20"/>
                <w:lang w:eastAsia="en-GB"/>
              </w:rPr>
              <w:t>PCell</w:t>
            </w:r>
            <w:proofErr w:type="spellEnd"/>
            <w:r w:rsidRPr="00C966B0">
              <w:rPr>
                <w:rFonts w:eastAsia="游明朝"/>
                <w:bCs/>
                <w:sz w:val="20"/>
                <w:lang w:eastAsia="en-GB"/>
              </w:rPr>
              <w:t>) and NR-U (</w:t>
            </w:r>
            <w:proofErr w:type="spellStart"/>
            <w:r w:rsidRPr="00C966B0">
              <w:rPr>
                <w:rFonts w:eastAsia="游明朝"/>
                <w:bCs/>
                <w:sz w:val="20"/>
                <w:lang w:eastAsia="en-GB"/>
              </w:rPr>
              <w:t>PSCell</w:t>
            </w:r>
            <w:proofErr w:type="spellEnd"/>
            <w:r w:rsidRPr="00C966B0">
              <w:rPr>
                <w:rFonts w:eastAsia="游明朝"/>
                <w:bCs/>
                <w:sz w:val="20"/>
                <w:lang w:eastAsia="en-GB"/>
              </w:rPr>
              <w:t>)</w:t>
            </w:r>
          </w:p>
          <w:p w14:paraId="58473932"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In this scenario, LTE </w:t>
            </w:r>
            <w:proofErr w:type="spellStart"/>
            <w:r w:rsidRPr="00C966B0">
              <w:rPr>
                <w:rFonts w:eastAsia="游明朝"/>
                <w:bCs/>
                <w:sz w:val="20"/>
                <w:lang w:eastAsia="en-GB"/>
              </w:rPr>
              <w:t>PCell</w:t>
            </w:r>
            <w:proofErr w:type="spellEnd"/>
            <w:r w:rsidRPr="00C966B0">
              <w:rPr>
                <w:rFonts w:eastAsia="游明朝"/>
                <w:bCs/>
                <w:sz w:val="20"/>
                <w:lang w:eastAsia="en-GB"/>
              </w:rPr>
              <w:t xml:space="preserve"> connected to EPC as higher priority than </w:t>
            </w:r>
            <w:proofErr w:type="spellStart"/>
            <w:r w:rsidRPr="00C966B0">
              <w:rPr>
                <w:rFonts w:eastAsia="游明朝"/>
                <w:bCs/>
                <w:sz w:val="20"/>
                <w:lang w:eastAsia="en-GB"/>
              </w:rPr>
              <w:t>PCell</w:t>
            </w:r>
            <w:proofErr w:type="spellEnd"/>
            <w:r w:rsidRPr="00C966B0">
              <w:rPr>
                <w:rFonts w:eastAsia="游明朝"/>
                <w:bCs/>
                <w:sz w:val="20"/>
                <w:lang w:eastAsia="en-GB"/>
              </w:rPr>
              <w:t xml:space="preserve"> connected to 5G-CN. </w:t>
            </w:r>
          </w:p>
          <w:p w14:paraId="3F6A182B"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C: Stand-alone NR-U</w:t>
            </w:r>
          </w:p>
          <w:p w14:paraId="642DFDC4"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536D215E"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Scenario D: A stand-alone NR cell in unlicensed band and UL in licensed band (single cell architecture).</w:t>
            </w:r>
          </w:p>
          <w:p w14:paraId="1CA5F2D6" w14:textId="77777777"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In this scenario, NR-U is connected to 5G-CN.</w:t>
            </w:r>
          </w:p>
          <w:p w14:paraId="2561AD7F" w14:textId="77777777" w:rsidR="00C966B0" w:rsidRPr="00C966B0" w:rsidRDefault="00C966B0" w:rsidP="00C966B0">
            <w:pPr>
              <w:numPr>
                <w:ilvl w:val="0"/>
                <w:numId w:val="18"/>
              </w:numPr>
              <w:rPr>
                <w:rFonts w:eastAsia="游明朝"/>
                <w:bCs/>
                <w:sz w:val="20"/>
                <w:lang w:eastAsia="en-GB"/>
              </w:rPr>
            </w:pPr>
            <w:r w:rsidRPr="00C966B0">
              <w:rPr>
                <w:rFonts w:eastAsia="游明朝"/>
                <w:bCs/>
                <w:sz w:val="20"/>
                <w:lang w:eastAsia="en-GB"/>
              </w:rPr>
              <w:t xml:space="preserve">Scenario E: Dual connectivity between licensed band NR and NR-U. </w:t>
            </w:r>
          </w:p>
          <w:p w14:paraId="2EA01FDA" w14:textId="285E89CF" w:rsidR="00C966B0" w:rsidRPr="00C966B0" w:rsidRDefault="00C966B0" w:rsidP="00C966B0">
            <w:pPr>
              <w:numPr>
                <w:ilvl w:val="1"/>
                <w:numId w:val="18"/>
              </w:numPr>
              <w:rPr>
                <w:rFonts w:eastAsia="游明朝"/>
                <w:bCs/>
                <w:sz w:val="20"/>
                <w:lang w:eastAsia="en-GB"/>
              </w:rPr>
            </w:pPr>
            <w:r w:rsidRPr="00C966B0">
              <w:rPr>
                <w:rFonts w:eastAsia="游明朝"/>
                <w:bCs/>
                <w:sz w:val="20"/>
                <w:lang w:eastAsia="en-GB"/>
              </w:rPr>
              <w:t xml:space="preserve">In this scenario, </w:t>
            </w:r>
            <w:proofErr w:type="spellStart"/>
            <w:r w:rsidRPr="00C966B0">
              <w:rPr>
                <w:rFonts w:eastAsia="游明朝"/>
                <w:bCs/>
                <w:sz w:val="20"/>
                <w:lang w:eastAsia="en-GB"/>
              </w:rPr>
              <w:t>PCell</w:t>
            </w:r>
            <w:proofErr w:type="spellEnd"/>
            <w:r w:rsidRPr="00C966B0">
              <w:rPr>
                <w:rFonts w:eastAsia="游明朝"/>
                <w:bCs/>
                <w:sz w:val="20"/>
                <w:lang w:eastAsia="en-GB"/>
              </w:rPr>
              <w:t xml:space="preserve"> is connected to 5G-CN.</w:t>
            </w:r>
          </w:p>
        </w:tc>
      </w:tr>
    </w:tbl>
    <w:p w14:paraId="1E5A8A80" w14:textId="74D5281B" w:rsidR="00C966B0" w:rsidRDefault="00C966B0" w:rsidP="004D7B4A">
      <w:pPr>
        <w:spacing w:afterLines="50" w:after="120"/>
        <w:rPr>
          <w:sz w:val="22"/>
          <w:szCs w:val="22"/>
        </w:rPr>
      </w:pPr>
    </w:p>
    <w:p w14:paraId="30707D89" w14:textId="6FB26C55" w:rsidR="000E4D0A" w:rsidRDefault="000E4D0A" w:rsidP="004D7B4A">
      <w:pPr>
        <w:spacing w:afterLines="50" w:after="120"/>
        <w:rPr>
          <w:sz w:val="22"/>
          <w:szCs w:val="22"/>
        </w:rPr>
      </w:pPr>
      <w:r>
        <w:rPr>
          <w:rFonts w:hint="eastAsia"/>
          <w:sz w:val="22"/>
          <w:szCs w:val="22"/>
        </w:rPr>
        <w:t>The WI scope seems too large for the agreed TU</w:t>
      </w:r>
      <w:r>
        <w:rPr>
          <w:sz w:val="22"/>
          <w:szCs w:val="22"/>
        </w:rPr>
        <w:t xml:space="preserve"> and completion target if all possible enhancements for NR-U discussed during SI will be further discussed and specified. RAN1 should consider a priority among five scenarios, and an enhancement for NR-U should be specified only when it is deemed necessary to operate NR-U appropriately</w:t>
      </w:r>
      <w:r w:rsidR="00EE10D2">
        <w:rPr>
          <w:sz w:val="22"/>
          <w:szCs w:val="22"/>
        </w:rPr>
        <w:t xml:space="preserve"> in high priority scenario(s)</w:t>
      </w:r>
      <w:r>
        <w:rPr>
          <w:sz w:val="22"/>
          <w:szCs w:val="22"/>
        </w:rPr>
        <w:t xml:space="preserve">. In other words, an enhancement for further flexibility/optimization should be deprioritized </w:t>
      </w:r>
      <w:r w:rsidR="00EE10D2">
        <w:rPr>
          <w:sz w:val="22"/>
          <w:szCs w:val="22"/>
        </w:rPr>
        <w:t>as well as an enhancement necessary/preferred for low priority scenario(s).</w:t>
      </w:r>
      <w:r w:rsidR="00712F37">
        <w:rPr>
          <w:sz w:val="22"/>
          <w:szCs w:val="22"/>
        </w:rPr>
        <w:t xml:space="preserve"> </w:t>
      </w:r>
      <w:r w:rsidR="002337CF">
        <w:rPr>
          <w:sz w:val="22"/>
          <w:szCs w:val="22"/>
        </w:rPr>
        <w:t>Even f</w:t>
      </w:r>
      <w:r w:rsidR="00712F37">
        <w:rPr>
          <w:sz w:val="22"/>
          <w:szCs w:val="22"/>
        </w:rPr>
        <w:t xml:space="preserve">or an </w:t>
      </w:r>
      <w:r w:rsidR="00712F37">
        <w:rPr>
          <w:sz w:val="22"/>
          <w:szCs w:val="22"/>
        </w:rPr>
        <w:lastRenderedPageBreak/>
        <w:t>enhancement for NR-U to support a functionality already supported in LTE-LAA, RAN1 should consider differences between LTE and NR designs.</w:t>
      </w:r>
    </w:p>
    <w:p w14:paraId="3D363D01" w14:textId="65EB70B2" w:rsidR="00C966B0" w:rsidRDefault="00EE10D2" w:rsidP="004D7B4A">
      <w:pPr>
        <w:spacing w:afterLines="50" w:after="120"/>
        <w:rPr>
          <w:sz w:val="22"/>
          <w:szCs w:val="22"/>
        </w:rPr>
      </w:pPr>
      <w:r>
        <w:rPr>
          <w:sz w:val="22"/>
          <w:szCs w:val="22"/>
        </w:rPr>
        <w:t>In terms of potential HARQ enhancements, RAN1 should consider following aspects.</w:t>
      </w:r>
    </w:p>
    <w:p w14:paraId="144F3FF2" w14:textId="630AC721" w:rsidR="00EE10D2" w:rsidRDefault="00EE10D2" w:rsidP="00EE10D2">
      <w:pPr>
        <w:pStyle w:val="afc"/>
        <w:numPr>
          <w:ilvl w:val="0"/>
          <w:numId w:val="19"/>
        </w:numPr>
        <w:spacing w:afterLines="50" w:after="120"/>
        <w:ind w:leftChars="0"/>
        <w:rPr>
          <w:sz w:val="22"/>
          <w:szCs w:val="22"/>
        </w:rPr>
      </w:pPr>
      <w:r>
        <w:rPr>
          <w:rFonts w:hint="eastAsia"/>
          <w:sz w:val="22"/>
          <w:szCs w:val="22"/>
        </w:rPr>
        <w:t xml:space="preserve">In scenario A and D, HARQ feedback </w:t>
      </w:r>
      <w:r>
        <w:rPr>
          <w:sz w:val="22"/>
          <w:szCs w:val="22"/>
        </w:rPr>
        <w:t>will be sent on licensed band</w:t>
      </w:r>
      <w:r w:rsidR="00712F37">
        <w:rPr>
          <w:sz w:val="22"/>
          <w:szCs w:val="22"/>
        </w:rPr>
        <w:t xml:space="preserve">. In such case, resource/timing for HARQ feedback could be ensured by </w:t>
      </w:r>
      <w:proofErr w:type="spellStart"/>
      <w:r w:rsidR="00712F37">
        <w:rPr>
          <w:sz w:val="22"/>
          <w:szCs w:val="22"/>
        </w:rPr>
        <w:t>gNB</w:t>
      </w:r>
      <w:proofErr w:type="spellEnd"/>
      <w:r w:rsidR="00712F37">
        <w:rPr>
          <w:sz w:val="22"/>
          <w:szCs w:val="22"/>
        </w:rPr>
        <w:t>.</w:t>
      </w:r>
    </w:p>
    <w:p w14:paraId="2F863579" w14:textId="043DF9EB" w:rsidR="00712F37" w:rsidRDefault="00712F37" w:rsidP="00EE10D2">
      <w:pPr>
        <w:pStyle w:val="afc"/>
        <w:numPr>
          <w:ilvl w:val="0"/>
          <w:numId w:val="19"/>
        </w:numPr>
        <w:spacing w:afterLines="50" w:after="120"/>
        <w:ind w:leftChars="0"/>
        <w:rPr>
          <w:sz w:val="22"/>
          <w:szCs w:val="22"/>
        </w:rPr>
      </w:pPr>
      <w:r>
        <w:rPr>
          <w:sz w:val="22"/>
          <w:szCs w:val="22"/>
        </w:rPr>
        <w:t xml:space="preserve">Even when HARQ feedback will be sent on unlicensed band, since multiple DL-UL and UL-DL switching within a </w:t>
      </w:r>
      <w:proofErr w:type="spellStart"/>
      <w:r>
        <w:rPr>
          <w:sz w:val="22"/>
          <w:szCs w:val="22"/>
        </w:rPr>
        <w:t>gNB</w:t>
      </w:r>
      <w:proofErr w:type="spellEnd"/>
      <w:r>
        <w:rPr>
          <w:sz w:val="22"/>
          <w:szCs w:val="22"/>
        </w:rPr>
        <w:t xml:space="preserve">-initiated COT will be allowed, </w:t>
      </w:r>
      <w:proofErr w:type="spellStart"/>
      <w:r>
        <w:rPr>
          <w:sz w:val="22"/>
          <w:szCs w:val="22"/>
        </w:rPr>
        <w:t>gNB</w:t>
      </w:r>
      <w:proofErr w:type="spellEnd"/>
      <w:r>
        <w:rPr>
          <w:sz w:val="22"/>
          <w:szCs w:val="22"/>
        </w:rPr>
        <w:t xml:space="preserve"> would have flexibility on resource/timing for HARQ feedback within the COT. </w:t>
      </w:r>
    </w:p>
    <w:p w14:paraId="58A96445" w14:textId="39501CCD" w:rsidR="00712F37" w:rsidRDefault="00712F37" w:rsidP="00EE10D2">
      <w:pPr>
        <w:pStyle w:val="afc"/>
        <w:numPr>
          <w:ilvl w:val="0"/>
          <w:numId w:val="19"/>
        </w:numPr>
        <w:spacing w:afterLines="50" w:after="120"/>
        <w:ind w:leftChars="0"/>
        <w:rPr>
          <w:sz w:val="22"/>
          <w:szCs w:val="22"/>
        </w:rPr>
      </w:pPr>
      <w:r>
        <w:rPr>
          <w:rFonts w:hint="eastAsia"/>
          <w:sz w:val="22"/>
          <w:szCs w:val="22"/>
        </w:rPr>
        <w:t xml:space="preserve">Different from LTE, NR supports wider CC bandwidth </w:t>
      </w:r>
      <w:r w:rsidR="00844C6D">
        <w:rPr>
          <w:sz w:val="22"/>
          <w:szCs w:val="22"/>
        </w:rPr>
        <w:t>than 20MHz, such as 100MHz. So, CA operation with very large number of CCs should not be a major scenario.</w:t>
      </w:r>
    </w:p>
    <w:p w14:paraId="516DB518" w14:textId="7F8E8527" w:rsidR="004A46E6" w:rsidRDefault="004A46E6" w:rsidP="004A46E6">
      <w:pPr>
        <w:spacing w:afterLines="50" w:after="120"/>
        <w:rPr>
          <w:sz w:val="22"/>
          <w:szCs w:val="22"/>
        </w:rPr>
      </w:pPr>
    </w:p>
    <w:p w14:paraId="1997361C" w14:textId="708EBD1D" w:rsidR="004A46E6" w:rsidRDefault="004A46E6" w:rsidP="004A46E6">
      <w:pPr>
        <w:spacing w:afterLines="50" w:after="120"/>
        <w:rPr>
          <w:sz w:val="22"/>
          <w:szCs w:val="22"/>
        </w:rPr>
      </w:pPr>
    </w:p>
    <w:p w14:paraId="724BF030" w14:textId="2018C769" w:rsidR="00D90DCB" w:rsidRPr="00EA4CFF" w:rsidRDefault="004A46E6" w:rsidP="00D90DCB">
      <w:pPr>
        <w:pStyle w:val="2"/>
        <w:rPr>
          <w:sz w:val="22"/>
          <w:szCs w:val="22"/>
        </w:rPr>
      </w:pPr>
      <w:r>
        <w:rPr>
          <w:rFonts w:hint="eastAsia"/>
          <w:sz w:val="22"/>
          <w:szCs w:val="22"/>
        </w:rPr>
        <w:t>2.2</w:t>
      </w:r>
      <w:r w:rsidR="00D90DCB">
        <w:rPr>
          <w:rFonts w:hint="eastAsia"/>
          <w:sz w:val="22"/>
          <w:szCs w:val="22"/>
        </w:rPr>
        <w:tab/>
      </w:r>
      <w:r w:rsidR="00D90DCB">
        <w:rPr>
          <w:sz w:val="22"/>
          <w:szCs w:val="22"/>
        </w:rPr>
        <w:t>HARQ A/N transmission for corresponding data in a separate COT</w:t>
      </w:r>
      <w:r w:rsidR="00E9135A">
        <w:rPr>
          <w:sz w:val="22"/>
          <w:szCs w:val="22"/>
        </w:rPr>
        <w:t xml:space="preserve"> and HARQ codebook enhancement</w:t>
      </w:r>
    </w:p>
    <w:p w14:paraId="181E9904" w14:textId="045BF232" w:rsidR="00632968" w:rsidRDefault="00B84A60" w:rsidP="00937079">
      <w:pPr>
        <w:spacing w:afterLines="50" w:after="120"/>
        <w:rPr>
          <w:sz w:val="22"/>
          <w:szCs w:val="22"/>
          <w:lang w:val="en-US"/>
        </w:rPr>
      </w:pPr>
      <w:r>
        <w:rPr>
          <w:rFonts w:hint="eastAsia"/>
          <w:sz w:val="22"/>
          <w:szCs w:val="22"/>
          <w:lang w:val="en-US"/>
        </w:rPr>
        <w:t>At the RAN1</w:t>
      </w:r>
      <w:r>
        <w:rPr>
          <w:sz w:val="22"/>
          <w:szCs w:val="22"/>
          <w:lang w:val="en-US"/>
        </w:rPr>
        <w:t xml:space="preserve">#NR-AH1901 </w:t>
      </w:r>
      <w:r w:rsidR="003656ED">
        <w:rPr>
          <w:rFonts w:hint="eastAsia"/>
          <w:sz w:val="22"/>
          <w:szCs w:val="22"/>
          <w:lang w:val="en-US"/>
        </w:rPr>
        <w:t xml:space="preserve">meeting, it was agreed that </w:t>
      </w:r>
      <w:r w:rsidR="003656ED" w:rsidRPr="003656ED">
        <w:rPr>
          <w:sz w:val="22"/>
          <w:szCs w:val="22"/>
          <w:lang w:val="en-US"/>
        </w:rPr>
        <w:t>RRC parameter dl-</w:t>
      </w:r>
      <w:proofErr w:type="spellStart"/>
      <w:r w:rsidR="003656ED" w:rsidRPr="003656ED">
        <w:rPr>
          <w:sz w:val="22"/>
          <w:szCs w:val="22"/>
          <w:lang w:val="en-US"/>
        </w:rPr>
        <w:t>DataToUL</w:t>
      </w:r>
      <w:proofErr w:type="spellEnd"/>
      <w:r w:rsidR="003656ED" w:rsidRPr="003656ED">
        <w:rPr>
          <w:sz w:val="22"/>
          <w:szCs w:val="22"/>
          <w:lang w:val="en-US"/>
        </w:rPr>
        <w:t>-ACK supports a value that can be signaled by PDSCH-to-HARQ-timing-indicator, which indicates that the UE needs to store the HARQ A/N feedback result for the corresponding PDSCH, and which does not provide any timing for the transmission of this HARQ A/N feedback result</w:t>
      </w:r>
      <w:r>
        <w:rPr>
          <w:sz w:val="22"/>
          <w:szCs w:val="22"/>
          <w:lang w:val="en-US"/>
        </w:rPr>
        <w:t xml:space="preserve"> [2]</w:t>
      </w:r>
      <w:r w:rsidR="003656ED">
        <w:rPr>
          <w:sz w:val="22"/>
          <w:szCs w:val="22"/>
          <w:lang w:val="en-US"/>
        </w:rPr>
        <w:t xml:space="preserve">. </w:t>
      </w:r>
      <w:r w:rsidR="00333B72">
        <w:rPr>
          <w:sz w:val="22"/>
          <w:szCs w:val="22"/>
          <w:lang w:val="en-US"/>
        </w:rPr>
        <w:t xml:space="preserve">In addition, it was also agreed that </w:t>
      </w:r>
      <w:r w:rsidR="00B72AB2">
        <w:rPr>
          <w:sz w:val="22"/>
          <w:szCs w:val="22"/>
          <w:lang w:val="en-US"/>
        </w:rPr>
        <w:t>NR-U supports requesting/triggering feedback for PDSCH from earlier COT(s) or additional reporting of earlier HARQ feedback</w:t>
      </w:r>
      <w:r w:rsidR="00632968">
        <w:rPr>
          <w:sz w:val="22"/>
          <w:szCs w:val="22"/>
          <w:lang w:val="en-US"/>
        </w:rPr>
        <w:t xml:space="preserve"> by using another DCI in which the exact HARQ feedback timing and resource are provided. For this mechanism, there are two sub-options below as captured in the TR</w:t>
      </w:r>
      <w:r w:rsidR="00AA75A6">
        <w:rPr>
          <w:sz w:val="22"/>
          <w:szCs w:val="22"/>
          <w:lang w:val="en-US"/>
        </w:rPr>
        <w:t xml:space="preserve"> [3]</w:t>
      </w:r>
      <w:r w:rsidR="00632968">
        <w:rPr>
          <w:sz w:val="22"/>
          <w:szCs w:val="22"/>
          <w:lang w:val="en-US"/>
        </w:rPr>
        <w:t>.</w:t>
      </w:r>
    </w:p>
    <w:p w14:paraId="5833616F" w14:textId="77777777" w:rsidR="00632968" w:rsidRPr="00632968" w:rsidRDefault="00632968" w:rsidP="00632968">
      <w:pPr>
        <w:pStyle w:val="afc"/>
        <w:numPr>
          <w:ilvl w:val="0"/>
          <w:numId w:val="23"/>
        </w:numPr>
        <w:spacing w:afterLines="50" w:after="120"/>
        <w:ind w:leftChars="0"/>
        <w:rPr>
          <w:sz w:val="22"/>
          <w:szCs w:val="22"/>
          <w:lang w:val="en-US"/>
        </w:rPr>
      </w:pPr>
      <w:r w:rsidRPr="00632968">
        <w:rPr>
          <w:sz w:val="22"/>
          <w:szCs w:val="22"/>
          <w:lang w:val="en-US"/>
        </w:rPr>
        <w:t>Alt1a: request/trigger reporting of HARQ feedback for earlier COT(s) or additional reporting of earlier HARQ feedback without explicit signaling of HARQ process ID, possibly along with other HARQ feedback reports (e.g. for the current COT)</w:t>
      </w:r>
    </w:p>
    <w:p w14:paraId="5BFCDF9E" w14:textId="462DBD36" w:rsidR="00632968" w:rsidRPr="00632968" w:rsidRDefault="00632968" w:rsidP="00632968">
      <w:pPr>
        <w:pStyle w:val="afc"/>
        <w:numPr>
          <w:ilvl w:val="0"/>
          <w:numId w:val="23"/>
        </w:numPr>
        <w:spacing w:afterLines="50" w:after="120"/>
        <w:ind w:leftChars="0"/>
        <w:rPr>
          <w:sz w:val="22"/>
          <w:szCs w:val="22"/>
          <w:lang w:val="en-US"/>
        </w:rPr>
      </w:pPr>
      <w:r w:rsidRPr="00632968">
        <w:rPr>
          <w:sz w:val="22"/>
          <w:szCs w:val="22"/>
          <w:lang w:val="en-US"/>
        </w:rPr>
        <w:t>Alt1b: request/trigger reporting for a set of HARQ processes, either for all configured HARQ processes (e.g. group feedback), or for a set of HARQ process IDs or HARQ process ID groups</w:t>
      </w:r>
    </w:p>
    <w:p w14:paraId="35437C33" w14:textId="15DB89FC" w:rsidR="007A3AB3" w:rsidRDefault="00632968" w:rsidP="00937079">
      <w:pPr>
        <w:spacing w:afterLines="50" w:after="120"/>
        <w:rPr>
          <w:sz w:val="22"/>
          <w:szCs w:val="22"/>
          <w:lang w:val="en-US"/>
        </w:rPr>
      </w:pPr>
      <w:r>
        <w:rPr>
          <w:rFonts w:hint="eastAsia"/>
          <w:sz w:val="22"/>
          <w:szCs w:val="22"/>
          <w:lang w:val="en-US"/>
        </w:rPr>
        <w:t xml:space="preserve">We consider that explicit requesting/triggering </w:t>
      </w:r>
      <w:r>
        <w:rPr>
          <w:sz w:val="22"/>
          <w:szCs w:val="22"/>
          <w:lang w:val="en-US"/>
        </w:rPr>
        <w:t xml:space="preserve">of </w:t>
      </w:r>
      <w:r w:rsidR="007A3AB3">
        <w:rPr>
          <w:sz w:val="22"/>
          <w:szCs w:val="22"/>
          <w:lang w:val="en-US"/>
        </w:rPr>
        <w:t xml:space="preserve">only </w:t>
      </w:r>
      <w:r>
        <w:rPr>
          <w:sz w:val="22"/>
          <w:szCs w:val="22"/>
          <w:lang w:val="en-US"/>
        </w:rPr>
        <w:t>HARQ process(</w:t>
      </w:r>
      <w:proofErr w:type="spellStart"/>
      <w:r>
        <w:rPr>
          <w:sz w:val="22"/>
          <w:szCs w:val="22"/>
          <w:lang w:val="en-US"/>
        </w:rPr>
        <w:t>es</w:t>
      </w:r>
      <w:proofErr w:type="spellEnd"/>
      <w:r>
        <w:rPr>
          <w:sz w:val="22"/>
          <w:szCs w:val="22"/>
          <w:lang w:val="en-US"/>
        </w:rPr>
        <w:t>) that require initial or additional reporting of HARQ feedback seems most efficient</w:t>
      </w:r>
      <w:r w:rsidR="0071574E">
        <w:rPr>
          <w:sz w:val="22"/>
          <w:szCs w:val="22"/>
          <w:lang w:val="en-US"/>
        </w:rPr>
        <w:t xml:space="preserve"> in terms of feedback overhead</w:t>
      </w:r>
      <w:r>
        <w:rPr>
          <w:sz w:val="22"/>
          <w:szCs w:val="22"/>
          <w:lang w:val="en-US"/>
        </w:rPr>
        <w:t xml:space="preserve">. </w:t>
      </w:r>
      <w:r w:rsidR="00F174E4">
        <w:rPr>
          <w:sz w:val="22"/>
          <w:szCs w:val="22"/>
          <w:lang w:val="en-US"/>
        </w:rPr>
        <w:t xml:space="preserve">However, explicit indication of a set of HARQ process IDs </w:t>
      </w:r>
      <w:r w:rsidR="007A3AB3">
        <w:rPr>
          <w:sz w:val="22"/>
          <w:szCs w:val="22"/>
          <w:lang w:val="en-US"/>
        </w:rPr>
        <w:t xml:space="preserve">such as in Alt1b </w:t>
      </w:r>
      <w:r w:rsidR="00F174E4">
        <w:rPr>
          <w:sz w:val="22"/>
          <w:szCs w:val="22"/>
          <w:lang w:val="en-US"/>
        </w:rPr>
        <w:t xml:space="preserve">would require quite large overhead in the DCI requesting/triggering HARQ feedback for earlier COT(s). </w:t>
      </w:r>
      <w:r w:rsidR="007A3AB3">
        <w:rPr>
          <w:sz w:val="22"/>
          <w:szCs w:val="22"/>
          <w:lang w:val="en-US"/>
        </w:rPr>
        <w:t xml:space="preserve">In addition, if DCI scheduling the initial transmission by using a certain HARQ process ID is missed at UE, UE would misunderstand that the explicit requesting/triggering of the HARQ process ID is a request for additional reporting of the HARQ feedback regarding previous data using the </w:t>
      </w:r>
      <w:r w:rsidR="0071574E">
        <w:rPr>
          <w:sz w:val="22"/>
          <w:szCs w:val="22"/>
          <w:lang w:val="en-US"/>
        </w:rPr>
        <w:t xml:space="preserve">same </w:t>
      </w:r>
      <w:r w:rsidR="007A3AB3">
        <w:rPr>
          <w:sz w:val="22"/>
          <w:szCs w:val="22"/>
          <w:lang w:val="en-US"/>
        </w:rPr>
        <w:t>HARQ process ID.</w:t>
      </w:r>
      <w:r w:rsidR="0071574E">
        <w:rPr>
          <w:sz w:val="22"/>
          <w:szCs w:val="22"/>
          <w:lang w:val="en-US"/>
        </w:rPr>
        <w:t xml:space="preserve"> In such case, UE may report ACK for the HARQ process ID and </w:t>
      </w:r>
      <w:proofErr w:type="spellStart"/>
      <w:r w:rsidR="0071574E">
        <w:rPr>
          <w:sz w:val="22"/>
          <w:szCs w:val="22"/>
          <w:lang w:val="en-US"/>
        </w:rPr>
        <w:t>gNB</w:t>
      </w:r>
      <w:proofErr w:type="spellEnd"/>
      <w:r w:rsidR="0071574E">
        <w:rPr>
          <w:sz w:val="22"/>
          <w:szCs w:val="22"/>
          <w:lang w:val="en-US"/>
        </w:rPr>
        <w:t xml:space="preserve"> misunderstands that the new data was correctly decoded by the UE</w:t>
      </w:r>
      <w:r w:rsidR="00430CF7">
        <w:rPr>
          <w:sz w:val="22"/>
          <w:szCs w:val="22"/>
          <w:lang w:val="en-US"/>
        </w:rPr>
        <w:t xml:space="preserve"> as shown in Figure 1</w:t>
      </w:r>
      <w:r w:rsidR="0071574E">
        <w:rPr>
          <w:sz w:val="22"/>
          <w:szCs w:val="22"/>
          <w:lang w:val="en-US"/>
        </w:rPr>
        <w:t xml:space="preserve">. </w:t>
      </w:r>
      <w:r w:rsidR="00995300">
        <w:rPr>
          <w:sz w:val="22"/>
          <w:szCs w:val="22"/>
          <w:lang w:val="en-US"/>
        </w:rPr>
        <w:t xml:space="preserve">Even without explicit HARQ process ID (or ID group) indication in the request, </w:t>
      </w:r>
      <w:r w:rsidR="00232BAD">
        <w:rPr>
          <w:sz w:val="22"/>
          <w:szCs w:val="22"/>
          <w:lang w:val="en-US"/>
        </w:rPr>
        <w:t xml:space="preserve">e.g., feedback for all HARQ process IDs are triggered by the DCI, </w:t>
      </w:r>
      <w:r w:rsidR="00995300">
        <w:rPr>
          <w:sz w:val="22"/>
          <w:szCs w:val="22"/>
          <w:lang w:val="en-US"/>
        </w:rPr>
        <w:t>this issue would happen</w:t>
      </w:r>
      <w:r w:rsidR="001A4018">
        <w:rPr>
          <w:sz w:val="22"/>
          <w:szCs w:val="22"/>
          <w:lang w:val="en-US"/>
        </w:rPr>
        <w:t xml:space="preserve"> although DCI overhead issue can be solved at the cost of feedback overhead size</w:t>
      </w:r>
      <w:r w:rsidR="00995300">
        <w:rPr>
          <w:sz w:val="22"/>
          <w:szCs w:val="22"/>
          <w:lang w:val="en-US"/>
        </w:rPr>
        <w:t xml:space="preserve">. Therefore, it is beneficial to introduce an explicit indication from </w:t>
      </w:r>
      <w:proofErr w:type="spellStart"/>
      <w:r w:rsidR="00995300">
        <w:rPr>
          <w:sz w:val="22"/>
          <w:szCs w:val="22"/>
          <w:lang w:val="en-US"/>
        </w:rPr>
        <w:t>gNB</w:t>
      </w:r>
      <w:proofErr w:type="spellEnd"/>
      <w:r w:rsidR="00995300">
        <w:rPr>
          <w:sz w:val="22"/>
          <w:szCs w:val="22"/>
          <w:lang w:val="en-US"/>
        </w:rPr>
        <w:t xml:space="preserve"> to UE regarding feedback reception acknowledgement. For example, when requesting HARQ feedback report by using separate DCI from the scheduling DCI, whether it is new feedback request (i.e., previous feedback for the same HARQ process ID was correctly received) or additional feedback request (i.e., previous feedback for the same HARQ process ID was not correctly received)</w:t>
      </w:r>
      <w:r w:rsidR="00232BAD">
        <w:rPr>
          <w:sz w:val="22"/>
          <w:szCs w:val="22"/>
          <w:lang w:val="en-US"/>
        </w:rPr>
        <w:t xml:space="preserve"> can be indicated for each HARQ process ID. Assuming the semi-static </w:t>
      </w:r>
      <w:r w:rsidR="001A4018">
        <w:rPr>
          <w:sz w:val="22"/>
          <w:szCs w:val="22"/>
          <w:lang w:val="en-US"/>
        </w:rPr>
        <w:t xml:space="preserve">PDSCH </w:t>
      </w:r>
      <w:r w:rsidR="00232BAD">
        <w:rPr>
          <w:sz w:val="22"/>
          <w:szCs w:val="22"/>
          <w:lang w:val="en-US"/>
        </w:rPr>
        <w:t>HARQ</w:t>
      </w:r>
      <w:r w:rsidR="001A4018">
        <w:rPr>
          <w:sz w:val="22"/>
          <w:szCs w:val="22"/>
          <w:lang w:val="en-US"/>
        </w:rPr>
        <w:t>-ACK</w:t>
      </w:r>
      <w:r w:rsidR="00232BAD">
        <w:rPr>
          <w:sz w:val="22"/>
          <w:szCs w:val="22"/>
          <w:lang w:val="en-US"/>
        </w:rPr>
        <w:t xml:space="preserve"> codebook, DCI triggering/requesting the reporting of HARQ feedback should have </w:t>
      </w:r>
      <w:r w:rsidR="00BC21DD">
        <w:rPr>
          <w:sz w:val="22"/>
          <w:szCs w:val="22"/>
          <w:lang w:val="en-US"/>
        </w:rPr>
        <w:t xml:space="preserve">a toggle </w:t>
      </w:r>
      <w:r w:rsidR="00232BAD">
        <w:rPr>
          <w:sz w:val="22"/>
          <w:szCs w:val="22"/>
          <w:lang w:val="en-US"/>
        </w:rPr>
        <w:t>bitmap of the above feedback reception acknowledgement for every HARQ process together with feedback resource allocation information, LBT mechanism information and so on.</w:t>
      </w:r>
    </w:p>
    <w:p w14:paraId="05394B28" w14:textId="5D07DDB3" w:rsidR="001A4018" w:rsidRDefault="001A4018" w:rsidP="001A401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4A46E6">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For semi-static PDSCH HARQ-ACK codebook in NR-U, </w:t>
      </w:r>
      <w:r w:rsidRPr="001A4018">
        <w:rPr>
          <w:rFonts w:eastAsia="游明朝"/>
          <w:b/>
          <w:sz w:val="22"/>
          <w:szCs w:val="22"/>
        </w:rPr>
        <w:t xml:space="preserve">DCI triggering/requesting the reporting of HARQ feedback </w:t>
      </w:r>
      <w:r>
        <w:rPr>
          <w:rFonts w:eastAsia="游明朝"/>
          <w:b/>
          <w:sz w:val="22"/>
          <w:szCs w:val="22"/>
        </w:rPr>
        <w:t>includes</w:t>
      </w:r>
      <w:r w:rsidRPr="001A4018">
        <w:rPr>
          <w:rFonts w:eastAsia="游明朝"/>
          <w:b/>
          <w:sz w:val="22"/>
          <w:szCs w:val="22"/>
        </w:rPr>
        <w:t xml:space="preserve"> </w:t>
      </w:r>
      <w:r>
        <w:rPr>
          <w:rFonts w:eastAsia="游明朝"/>
          <w:b/>
          <w:sz w:val="22"/>
          <w:szCs w:val="22"/>
        </w:rPr>
        <w:t xml:space="preserve">a </w:t>
      </w:r>
      <w:r w:rsidR="00BC21DD">
        <w:rPr>
          <w:rFonts w:eastAsia="游明朝"/>
          <w:b/>
          <w:sz w:val="22"/>
          <w:szCs w:val="22"/>
        </w:rPr>
        <w:t xml:space="preserve">toggle </w:t>
      </w:r>
      <w:r>
        <w:rPr>
          <w:rFonts w:eastAsia="游明朝"/>
          <w:b/>
          <w:sz w:val="22"/>
          <w:szCs w:val="22"/>
        </w:rPr>
        <w:t xml:space="preserve">bitmap of the </w:t>
      </w:r>
      <w:r w:rsidRPr="001A4018">
        <w:rPr>
          <w:rFonts w:eastAsia="游明朝"/>
          <w:b/>
          <w:sz w:val="22"/>
          <w:szCs w:val="22"/>
        </w:rPr>
        <w:t>feedback reception acknowledgement for every HARQ process</w:t>
      </w:r>
      <w:r>
        <w:rPr>
          <w:rFonts w:eastAsia="游明朝"/>
          <w:b/>
          <w:sz w:val="22"/>
          <w:szCs w:val="22"/>
        </w:rPr>
        <w:t>.</w:t>
      </w:r>
    </w:p>
    <w:p w14:paraId="7494E8AE" w14:textId="6B4F576E" w:rsidR="00430CF7" w:rsidRDefault="00995300" w:rsidP="00937079">
      <w:pPr>
        <w:spacing w:afterLines="50" w:after="120"/>
        <w:rPr>
          <w:sz w:val="22"/>
          <w:szCs w:val="22"/>
          <w:lang w:val="en-US"/>
        </w:rPr>
      </w:pPr>
      <w:r>
        <w:rPr>
          <w:noProof/>
          <w:sz w:val="22"/>
          <w:szCs w:val="22"/>
          <w:lang w:val="en-US"/>
        </w:rPr>
        <w:lastRenderedPageBreak/>
        <w:drawing>
          <wp:inline distT="0" distB="0" distL="0" distR="0" wp14:anchorId="5DD9F645" wp14:editId="2F2B40F9">
            <wp:extent cx="6332220" cy="2374265"/>
            <wp:effectExtent l="0" t="0" r="0" b="698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1.jpg"/>
                    <pic:cNvPicPr/>
                  </pic:nvPicPr>
                  <pic:blipFill>
                    <a:blip r:embed="rId8">
                      <a:extLst>
                        <a:ext uri="{28A0092B-C50C-407E-A947-70E740481C1C}">
                          <a14:useLocalDpi xmlns:a14="http://schemas.microsoft.com/office/drawing/2010/main" val="0"/>
                        </a:ext>
                      </a:extLst>
                    </a:blip>
                    <a:stretch>
                      <a:fillRect/>
                    </a:stretch>
                  </pic:blipFill>
                  <pic:spPr>
                    <a:xfrm>
                      <a:off x="0" y="0"/>
                      <a:ext cx="6332220" cy="2374265"/>
                    </a:xfrm>
                    <a:prstGeom prst="rect">
                      <a:avLst/>
                    </a:prstGeom>
                  </pic:spPr>
                </pic:pic>
              </a:graphicData>
            </a:graphic>
          </wp:inline>
        </w:drawing>
      </w:r>
    </w:p>
    <w:p w14:paraId="258B0B73" w14:textId="631B1BC5" w:rsidR="007A3AB3" w:rsidRPr="0071574E" w:rsidRDefault="00430CF7" w:rsidP="00430CF7">
      <w:pPr>
        <w:spacing w:afterLines="50" w:after="120"/>
        <w:jc w:val="center"/>
        <w:rPr>
          <w:sz w:val="22"/>
          <w:szCs w:val="22"/>
          <w:lang w:val="en-US"/>
        </w:rPr>
      </w:pPr>
      <w:r>
        <w:rPr>
          <w:rFonts w:hint="eastAsia"/>
          <w:sz w:val="22"/>
          <w:szCs w:val="22"/>
          <w:lang w:val="en-US"/>
        </w:rPr>
        <w:t xml:space="preserve">Figure 1: </w:t>
      </w:r>
      <w:r w:rsidR="001A4018">
        <w:rPr>
          <w:sz w:val="22"/>
          <w:szCs w:val="22"/>
          <w:lang w:val="en-US"/>
        </w:rPr>
        <w:t>Possible issue in case without feedback reception acknowledgement indication to UE</w:t>
      </w:r>
    </w:p>
    <w:p w14:paraId="4F508359" w14:textId="77777777" w:rsidR="007A3AB3" w:rsidRDefault="007A3AB3" w:rsidP="00937079">
      <w:pPr>
        <w:spacing w:afterLines="50" w:after="120"/>
        <w:rPr>
          <w:sz w:val="22"/>
          <w:szCs w:val="22"/>
          <w:lang w:val="en-US"/>
        </w:rPr>
      </w:pPr>
    </w:p>
    <w:p w14:paraId="4BEF44C2" w14:textId="4A2193D2" w:rsidR="001A4018" w:rsidRDefault="001A4018" w:rsidP="00937079">
      <w:pPr>
        <w:spacing w:afterLines="50" w:after="120"/>
        <w:rPr>
          <w:sz w:val="22"/>
          <w:szCs w:val="22"/>
          <w:lang w:val="en-US"/>
        </w:rPr>
      </w:pPr>
      <w:r>
        <w:rPr>
          <w:rFonts w:hint="eastAsia"/>
          <w:sz w:val="22"/>
          <w:szCs w:val="22"/>
          <w:lang w:val="en-US"/>
        </w:rPr>
        <w:t xml:space="preserve">For dynamic PDSCH HARQ-ACK codebook in NR-U, </w:t>
      </w:r>
      <w:r w:rsidR="003745DC" w:rsidRPr="00937079">
        <w:rPr>
          <w:sz w:val="22"/>
          <w:szCs w:val="22"/>
        </w:rPr>
        <w:t xml:space="preserve">support </w:t>
      </w:r>
      <w:r w:rsidR="003745DC">
        <w:rPr>
          <w:sz w:val="22"/>
          <w:szCs w:val="22"/>
        </w:rPr>
        <w:t xml:space="preserve">of </w:t>
      </w:r>
      <w:r w:rsidR="003745DC" w:rsidRPr="00937079">
        <w:rPr>
          <w:sz w:val="22"/>
          <w:szCs w:val="22"/>
        </w:rPr>
        <w:t xml:space="preserve">a larger DAI field to accommodate for possibly missing </w:t>
      </w:r>
      <w:r w:rsidR="003745DC">
        <w:rPr>
          <w:sz w:val="22"/>
          <w:szCs w:val="22"/>
        </w:rPr>
        <w:t xml:space="preserve">equal to or </w:t>
      </w:r>
      <w:r w:rsidR="003745DC" w:rsidRPr="00937079">
        <w:rPr>
          <w:sz w:val="22"/>
          <w:szCs w:val="22"/>
        </w:rPr>
        <w:t>more than 4 PDSCH transmissions</w:t>
      </w:r>
      <w:r w:rsidR="003745DC">
        <w:rPr>
          <w:sz w:val="22"/>
          <w:szCs w:val="22"/>
        </w:rPr>
        <w:t xml:space="preserve"> can be considered as agreed during SI. On unlicensed band, strong interference due to collision may happen and hence there is a possibility of missing equal to or more than 4 PDSCH transmissions. However, how large DAI field is necessary/sufficient for typical NR-U operation should be carefully studied since increasing DAI field size may lead to DCI format size increase. </w:t>
      </w:r>
    </w:p>
    <w:p w14:paraId="21A42261" w14:textId="6A9A82BB" w:rsidR="0017206C" w:rsidRDefault="0017206C" w:rsidP="00937079">
      <w:pPr>
        <w:spacing w:afterLines="50" w:after="120"/>
        <w:rPr>
          <w:sz w:val="22"/>
          <w:szCs w:val="22"/>
          <w:lang w:val="en-US"/>
        </w:rPr>
      </w:pPr>
      <w:r>
        <w:rPr>
          <w:sz w:val="22"/>
          <w:szCs w:val="22"/>
          <w:lang w:val="en-US"/>
        </w:rPr>
        <w:t xml:space="preserve">In case that DCI triggers/requests </w:t>
      </w:r>
      <w:r w:rsidRPr="00632968">
        <w:rPr>
          <w:sz w:val="22"/>
          <w:szCs w:val="22"/>
          <w:lang w:val="en-US"/>
        </w:rPr>
        <w:t>reporting of HARQ feedback for earlier COT(s)</w:t>
      </w:r>
      <w:r>
        <w:rPr>
          <w:sz w:val="22"/>
          <w:szCs w:val="22"/>
          <w:lang w:val="en-US"/>
        </w:rPr>
        <w:t xml:space="preserve">, dynamic HARQ-ACK codebook can be determined based on DAI in scheduling DCI(s) without explicit HARQ process ID or ID group indication in the DCI triggering HARQ feedback for earlier COT(s). As pointed in [4], it may be beneficial to introduce toggle bit in DCI to indicate whether previous HARQ feedback was correctly received by </w:t>
      </w:r>
      <w:proofErr w:type="spellStart"/>
      <w:r>
        <w:rPr>
          <w:sz w:val="22"/>
          <w:szCs w:val="22"/>
          <w:lang w:val="en-US"/>
        </w:rPr>
        <w:t>gNB</w:t>
      </w:r>
      <w:proofErr w:type="spellEnd"/>
      <w:r>
        <w:rPr>
          <w:sz w:val="22"/>
          <w:szCs w:val="22"/>
          <w:lang w:val="en-US"/>
        </w:rPr>
        <w:t xml:space="preserve"> or not.</w:t>
      </w:r>
    </w:p>
    <w:p w14:paraId="578C890A" w14:textId="4BC6B8F6" w:rsidR="00055785" w:rsidRDefault="00055785" w:rsidP="00055785">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4A46E6">
        <w:rPr>
          <w:rFonts w:eastAsia="游明朝"/>
          <w:b/>
          <w:sz w:val="22"/>
          <w:szCs w:val="22"/>
          <w:u w:val="single"/>
        </w:rPr>
        <w:t>2</w:t>
      </w:r>
      <w:r>
        <w:rPr>
          <w:rFonts w:eastAsia="游明朝" w:hint="eastAsia"/>
          <w:b/>
          <w:sz w:val="22"/>
          <w:szCs w:val="22"/>
        </w:rPr>
        <w:t xml:space="preserve">: </w:t>
      </w:r>
      <w:r>
        <w:rPr>
          <w:rFonts w:eastAsia="游明朝"/>
          <w:b/>
          <w:sz w:val="22"/>
          <w:szCs w:val="22"/>
        </w:rPr>
        <w:t>For dynamic PDSCH HARQ-ACK codebook in NR-U, following potential enhancements are further studied.</w:t>
      </w:r>
    </w:p>
    <w:p w14:paraId="326F6B0E" w14:textId="3D0A30E0" w:rsidR="00055785" w:rsidRDefault="00055785" w:rsidP="00055785">
      <w:pPr>
        <w:pStyle w:val="afc"/>
        <w:numPr>
          <w:ilvl w:val="0"/>
          <w:numId w:val="27"/>
        </w:numPr>
        <w:spacing w:afterLines="50" w:after="120"/>
        <w:ind w:leftChars="0"/>
        <w:jc w:val="both"/>
        <w:rPr>
          <w:rFonts w:eastAsia="游明朝"/>
          <w:b/>
          <w:sz w:val="22"/>
          <w:szCs w:val="22"/>
        </w:rPr>
      </w:pPr>
      <w:r>
        <w:rPr>
          <w:rFonts w:eastAsia="游明朝"/>
          <w:b/>
          <w:sz w:val="22"/>
          <w:szCs w:val="22"/>
        </w:rPr>
        <w:t>Support of a larger DAI field to accommodate for possibly missing equal to or more than 4 PDSCH transmissions</w:t>
      </w:r>
    </w:p>
    <w:p w14:paraId="4B01E494" w14:textId="5B5C796D" w:rsidR="00055785" w:rsidRDefault="00055785" w:rsidP="00055785">
      <w:pPr>
        <w:pStyle w:val="afc"/>
        <w:numPr>
          <w:ilvl w:val="0"/>
          <w:numId w:val="27"/>
        </w:numPr>
        <w:spacing w:afterLines="50" w:after="120"/>
        <w:ind w:leftChars="0"/>
        <w:jc w:val="both"/>
        <w:rPr>
          <w:rFonts w:eastAsia="游明朝"/>
          <w:b/>
          <w:sz w:val="22"/>
          <w:szCs w:val="22"/>
        </w:rPr>
      </w:pPr>
      <w:r w:rsidRPr="00055785">
        <w:rPr>
          <w:rFonts w:eastAsia="游明朝"/>
          <w:b/>
          <w:sz w:val="22"/>
          <w:szCs w:val="22"/>
        </w:rPr>
        <w:t xml:space="preserve">In case that DCI triggers/requests reporting of HARQ feedback for earlier COT(s), dynamic HARQ-ACK codebook </w:t>
      </w:r>
      <w:r>
        <w:rPr>
          <w:rFonts w:eastAsia="游明朝"/>
          <w:b/>
          <w:sz w:val="22"/>
          <w:szCs w:val="22"/>
        </w:rPr>
        <w:t>determination</w:t>
      </w:r>
      <w:r w:rsidRPr="00055785">
        <w:rPr>
          <w:rFonts w:eastAsia="游明朝"/>
          <w:b/>
          <w:sz w:val="22"/>
          <w:szCs w:val="22"/>
        </w:rPr>
        <w:t xml:space="preserve"> without explicit HARQ process ID or ID group indication in the DCI</w:t>
      </w:r>
    </w:p>
    <w:p w14:paraId="005D93B6" w14:textId="608F94BA" w:rsidR="00055785" w:rsidRPr="00055785" w:rsidRDefault="00055785" w:rsidP="00055785">
      <w:pPr>
        <w:pStyle w:val="afc"/>
        <w:numPr>
          <w:ilvl w:val="0"/>
          <w:numId w:val="27"/>
        </w:numPr>
        <w:spacing w:afterLines="50" w:after="120"/>
        <w:ind w:leftChars="0"/>
        <w:jc w:val="both"/>
        <w:rPr>
          <w:rFonts w:eastAsia="游明朝"/>
          <w:b/>
          <w:sz w:val="22"/>
          <w:szCs w:val="22"/>
        </w:rPr>
      </w:pPr>
      <w:r>
        <w:rPr>
          <w:rFonts w:eastAsia="游明朝"/>
          <w:b/>
          <w:sz w:val="22"/>
          <w:szCs w:val="22"/>
        </w:rPr>
        <w:t xml:space="preserve">Introducing toggle bit in DCI to indicate whether </w:t>
      </w:r>
      <w:r w:rsidRPr="00055785">
        <w:rPr>
          <w:rFonts w:eastAsia="游明朝"/>
          <w:b/>
          <w:sz w:val="22"/>
          <w:szCs w:val="22"/>
        </w:rPr>
        <w:t xml:space="preserve">previous HARQ feedback was correctly received by </w:t>
      </w:r>
      <w:proofErr w:type="spellStart"/>
      <w:r w:rsidRPr="00055785">
        <w:rPr>
          <w:rFonts w:eastAsia="游明朝"/>
          <w:b/>
          <w:sz w:val="22"/>
          <w:szCs w:val="22"/>
        </w:rPr>
        <w:t>gNB</w:t>
      </w:r>
      <w:proofErr w:type="spellEnd"/>
      <w:r w:rsidRPr="00055785">
        <w:rPr>
          <w:rFonts w:eastAsia="游明朝"/>
          <w:b/>
          <w:sz w:val="22"/>
          <w:szCs w:val="22"/>
        </w:rPr>
        <w:t xml:space="preserve"> or not</w:t>
      </w:r>
    </w:p>
    <w:p w14:paraId="73462D43" w14:textId="7DE62701" w:rsidR="00055785" w:rsidRDefault="00055785" w:rsidP="00937079">
      <w:pPr>
        <w:spacing w:afterLines="50" w:after="120"/>
        <w:rPr>
          <w:sz w:val="22"/>
          <w:szCs w:val="22"/>
        </w:rPr>
      </w:pPr>
    </w:p>
    <w:p w14:paraId="01733E17" w14:textId="2DB28E24" w:rsidR="004A46E6" w:rsidRDefault="004A46E6" w:rsidP="00937079">
      <w:pPr>
        <w:spacing w:afterLines="50" w:after="120"/>
        <w:rPr>
          <w:sz w:val="22"/>
          <w:szCs w:val="22"/>
        </w:rPr>
      </w:pPr>
      <w:r>
        <w:rPr>
          <w:rFonts w:hint="eastAsia"/>
          <w:sz w:val="22"/>
          <w:szCs w:val="22"/>
        </w:rPr>
        <w:t xml:space="preserve">In addition to the </w:t>
      </w:r>
      <w:r>
        <w:rPr>
          <w:sz w:val="22"/>
          <w:szCs w:val="22"/>
        </w:rPr>
        <w:t xml:space="preserve">mechanism for </w:t>
      </w:r>
      <w:r>
        <w:rPr>
          <w:rFonts w:hint="eastAsia"/>
          <w:sz w:val="22"/>
          <w:szCs w:val="22"/>
        </w:rPr>
        <w:t>multiple HARQ</w:t>
      </w:r>
      <w:r>
        <w:rPr>
          <w:sz w:val="22"/>
          <w:szCs w:val="22"/>
        </w:rPr>
        <w:t xml:space="preserve">-ACK opportunities based on </w:t>
      </w:r>
      <w:proofErr w:type="spellStart"/>
      <w:r>
        <w:rPr>
          <w:sz w:val="22"/>
          <w:szCs w:val="22"/>
        </w:rPr>
        <w:t>gNB</w:t>
      </w:r>
      <w:proofErr w:type="spellEnd"/>
      <w:r>
        <w:rPr>
          <w:sz w:val="22"/>
          <w:szCs w:val="22"/>
        </w:rPr>
        <w:t xml:space="preserve"> request/trigger of </w:t>
      </w:r>
      <w:r w:rsidRPr="004A46E6">
        <w:rPr>
          <w:sz w:val="22"/>
          <w:szCs w:val="22"/>
        </w:rPr>
        <w:t xml:space="preserve">HARQ feedback </w:t>
      </w:r>
      <w:r>
        <w:rPr>
          <w:sz w:val="22"/>
          <w:szCs w:val="22"/>
        </w:rPr>
        <w:t xml:space="preserve">reporting </w:t>
      </w:r>
      <w:r w:rsidRPr="004A46E6">
        <w:rPr>
          <w:sz w:val="22"/>
          <w:szCs w:val="22"/>
        </w:rPr>
        <w:t>for earlier COT(s)</w:t>
      </w:r>
      <w:r>
        <w:rPr>
          <w:sz w:val="22"/>
          <w:szCs w:val="22"/>
        </w:rPr>
        <w:t xml:space="preserve"> i.e., Alt.1 in the TR, following some other mechanisms have been discussed.</w:t>
      </w:r>
    </w:p>
    <w:p w14:paraId="6E1F2BB1" w14:textId="77777777" w:rsidR="004A46E6" w:rsidRPr="004A46E6" w:rsidRDefault="004A46E6" w:rsidP="004A46E6">
      <w:pPr>
        <w:pStyle w:val="afc"/>
        <w:numPr>
          <w:ilvl w:val="0"/>
          <w:numId w:val="28"/>
        </w:numPr>
        <w:spacing w:afterLines="50" w:after="120"/>
        <w:ind w:leftChars="0"/>
        <w:rPr>
          <w:sz w:val="22"/>
          <w:szCs w:val="22"/>
        </w:rPr>
      </w:pPr>
      <w:r w:rsidRPr="004A46E6">
        <w:rPr>
          <w:sz w:val="22"/>
          <w:szCs w:val="22"/>
        </w:rPr>
        <w:t xml:space="preserve">Alt2: UE is configured/allowed to report HARQ feedback for PDSCH from earlier COT(s) without an explicit request/trigger </w:t>
      </w:r>
    </w:p>
    <w:p w14:paraId="3CDC273A" w14:textId="77777777" w:rsidR="004A46E6" w:rsidRPr="004A46E6" w:rsidRDefault="004A46E6" w:rsidP="004A46E6">
      <w:pPr>
        <w:pStyle w:val="afc"/>
        <w:numPr>
          <w:ilvl w:val="0"/>
          <w:numId w:val="28"/>
        </w:numPr>
        <w:spacing w:afterLines="50" w:after="120"/>
        <w:ind w:leftChars="0"/>
        <w:rPr>
          <w:sz w:val="22"/>
          <w:szCs w:val="22"/>
        </w:rPr>
      </w:pPr>
      <w:r w:rsidRPr="004A46E6">
        <w:rPr>
          <w:sz w:val="22"/>
          <w:szCs w:val="22"/>
        </w:rPr>
        <w:t xml:space="preserve">Alt3: </w:t>
      </w:r>
      <w:proofErr w:type="spellStart"/>
      <w:r w:rsidRPr="004A46E6">
        <w:rPr>
          <w:sz w:val="22"/>
          <w:szCs w:val="22"/>
        </w:rPr>
        <w:t>gNB</w:t>
      </w:r>
      <w:proofErr w:type="spellEnd"/>
      <w:r w:rsidRPr="004A46E6">
        <w:rPr>
          <w:sz w:val="22"/>
          <w:szCs w:val="22"/>
        </w:rPr>
        <w:t xml:space="preserve"> requests feedback outside the COT by PDSCH-to-HARQ-timing-indicator in the DCI scheduling the PDSCH</w:t>
      </w:r>
    </w:p>
    <w:p w14:paraId="64D9B4B5" w14:textId="77777777" w:rsidR="004A46E6" w:rsidRPr="004A46E6" w:rsidRDefault="004A46E6" w:rsidP="004A46E6">
      <w:pPr>
        <w:pStyle w:val="afc"/>
        <w:numPr>
          <w:ilvl w:val="0"/>
          <w:numId w:val="28"/>
        </w:numPr>
        <w:spacing w:afterLines="50" w:after="120"/>
        <w:ind w:leftChars="0"/>
        <w:rPr>
          <w:sz w:val="22"/>
          <w:szCs w:val="22"/>
        </w:rPr>
      </w:pPr>
      <w:r w:rsidRPr="004A46E6">
        <w:rPr>
          <w:sz w:val="22"/>
          <w:szCs w:val="22"/>
        </w:rPr>
        <w:t xml:space="preserve">Alt4: preconfigured/pre-indicated multiple opportunities in frequency domain in different LBT </w:t>
      </w:r>
      <w:proofErr w:type="spellStart"/>
      <w:r w:rsidRPr="004A46E6">
        <w:rPr>
          <w:sz w:val="22"/>
          <w:szCs w:val="22"/>
        </w:rPr>
        <w:t>subbands</w:t>
      </w:r>
      <w:proofErr w:type="spellEnd"/>
    </w:p>
    <w:p w14:paraId="42CE6F6A" w14:textId="0EF67F64" w:rsidR="004A46E6" w:rsidRPr="004A46E6" w:rsidRDefault="004A46E6" w:rsidP="004A46E6">
      <w:pPr>
        <w:pStyle w:val="afc"/>
        <w:numPr>
          <w:ilvl w:val="0"/>
          <w:numId w:val="28"/>
        </w:numPr>
        <w:spacing w:afterLines="50" w:after="120"/>
        <w:ind w:leftChars="0"/>
        <w:rPr>
          <w:sz w:val="22"/>
          <w:szCs w:val="22"/>
        </w:rPr>
      </w:pPr>
      <w:r w:rsidRPr="004A46E6">
        <w:rPr>
          <w:sz w:val="22"/>
          <w:szCs w:val="22"/>
        </w:rPr>
        <w:t>Alt5: preconfigured/pre-indicated multiple opportunities in time domain</w:t>
      </w:r>
    </w:p>
    <w:p w14:paraId="670C3263" w14:textId="360CD41A" w:rsidR="004A46E6" w:rsidRDefault="004A46E6" w:rsidP="00937079">
      <w:pPr>
        <w:spacing w:afterLines="50" w:after="120"/>
        <w:rPr>
          <w:sz w:val="22"/>
          <w:szCs w:val="22"/>
        </w:rPr>
      </w:pPr>
      <w:r>
        <w:rPr>
          <w:rFonts w:hint="eastAsia"/>
          <w:sz w:val="22"/>
          <w:szCs w:val="22"/>
        </w:rPr>
        <w:t>W</w:t>
      </w:r>
      <w:r>
        <w:rPr>
          <w:sz w:val="22"/>
          <w:szCs w:val="22"/>
        </w:rPr>
        <w:t>e think that Alt2 and Alt5 are unnecessary, and Alt3 is anyway possible without additional enhancement</w:t>
      </w:r>
      <w:r w:rsidR="00CB3D1C">
        <w:rPr>
          <w:sz w:val="22"/>
          <w:szCs w:val="22"/>
        </w:rPr>
        <w:t xml:space="preserve"> although it is not a solution for multiple HARQ-ACK opportunities</w:t>
      </w:r>
      <w:r>
        <w:rPr>
          <w:sz w:val="22"/>
          <w:szCs w:val="22"/>
        </w:rPr>
        <w:t>.</w:t>
      </w:r>
      <w:r w:rsidR="00CB3D1C">
        <w:rPr>
          <w:sz w:val="22"/>
          <w:szCs w:val="22"/>
        </w:rPr>
        <w:t xml:space="preserve"> Regarding Alt4, we think it would be beneficial if NR-U using wide bandwidth coexists with other system using narrower bandwidth such as one or </w:t>
      </w:r>
      <w:r w:rsidR="00CB3D1C">
        <w:rPr>
          <w:sz w:val="22"/>
          <w:szCs w:val="22"/>
        </w:rPr>
        <w:lastRenderedPageBreak/>
        <w:t xml:space="preserve">some of LBT </w:t>
      </w:r>
      <w:proofErr w:type="spellStart"/>
      <w:r w:rsidR="00CB3D1C">
        <w:rPr>
          <w:sz w:val="22"/>
          <w:szCs w:val="22"/>
        </w:rPr>
        <w:t>subband</w:t>
      </w:r>
      <w:proofErr w:type="spellEnd"/>
      <w:r w:rsidR="00CB3D1C">
        <w:rPr>
          <w:sz w:val="22"/>
          <w:szCs w:val="22"/>
        </w:rPr>
        <w:t xml:space="preserve">(s) in NR-U bandwidth. For the case of HARQ-ACK on PUCCH, multiple PUCCH resources (in case of single wideband operation) and/or multiple PUCCH cells (in case of CA operation) need to be configured. For the case of HARQ-ACK on PUSCH, UCI including HARQ-ACK need to be piggybacked on every PUSCH in different CC in case of CA operation. </w:t>
      </w:r>
    </w:p>
    <w:p w14:paraId="1F9F3C2C" w14:textId="1D672F91" w:rsidR="00CB3D1C" w:rsidRDefault="00CB3D1C" w:rsidP="00CB3D1C">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5AFF79D2" w14:textId="44ACD8E9" w:rsidR="004A46E6"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360A42DA" w14:textId="4FF72BA9" w:rsidR="00EC7A8B" w:rsidRP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1FFE7162" w14:textId="77777777" w:rsidR="00CB3D1C" w:rsidRPr="00CB3D1C" w:rsidRDefault="00CB3D1C" w:rsidP="00937079">
      <w:pPr>
        <w:spacing w:afterLines="50" w:after="120"/>
        <w:rPr>
          <w:sz w:val="22"/>
          <w:szCs w:val="22"/>
        </w:rPr>
      </w:pPr>
    </w:p>
    <w:p w14:paraId="281FD466" w14:textId="3096DAA7" w:rsidR="004A46E6" w:rsidRDefault="004A46E6" w:rsidP="00937079">
      <w:pPr>
        <w:spacing w:afterLines="50" w:after="120"/>
        <w:rPr>
          <w:sz w:val="22"/>
          <w:szCs w:val="22"/>
        </w:rPr>
      </w:pPr>
    </w:p>
    <w:p w14:paraId="3A8CE38C" w14:textId="032A2AAD" w:rsidR="004A46E6" w:rsidRPr="00EA4CFF" w:rsidRDefault="004A46E6" w:rsidP="004A46E6">
      <w:pPr>
        <w:pStyle w:val="2"/>
        <w:rPr>
          <w:sz w:val="22"/>
          <w:szCs w:val="22"/>
        </w:rPr>
      </w:pPr>
      <w:r>
        <w:rPr>
          <w:rFonts w:hint="eastAsia"/>
          <w:sz w:val="22"/>
          <w:szCs w:val="22"/>
        </w:rPr>
        <w:t>2.3</w:t>
      </w:r>
      <w:r>
        <w:rPr>
          <w:rFonts w:hint="eastAsia"/>
          <w:sz w:val="22"/>
          <w:szCs w:val="22"/>
        </w:rPr>
        <w:tab/>
      </w:r>
      <w:r>
        <w:rPr>
          <w:sz w:val="22"/>
          <w:szCs w:val="22"/>
        </w:rPr>
        <w:t>HARQ A/N transmission for corresponding data in the same shared COT</w:t>
      </w:r>
    </w:p>
    <w:p w14:paraId="4A025105" w14:textId="77777777" w:rsidR="004A46E6" w:rsidRDefault="004A46E6" w:rsidP="004A46E6">
      <w:pPr>
        <w:spacing w:afterLines="50" w:after="120"/>
        <w:rPr>
          <w:sz w:val="22"/>
          <w:szCs w:val="22"/>
        </w:rPr>
      </w:pPr>
      <w:r>
        <w:rPr>
          <w:rFonts w:hint="eastAsia"/>
          <w:sz w:val="22"/>
          <w:szCs w:val="22"/>
        </w:rPr>
        <w:t xml:space="preserve">In NR, HARQ A/N </w:t>
      </w:r>
      <w:r>
        <w:rPr>
          <w:sz w:val="22"/>
          <w:szCs w:val="22"/>
        </w:rPr>
        <w:t xml:space="preserve">timing is indicated in the scheduling DCI as PDSCH-to-HARQ feedback timing indicator, where the indication is about the number of slots. In NR-U operation, when </w:t>
      </w:r>
      <w:proofErr w:type="spellStart"/>
      <w:r>
        <w:rPr>
          <w:sz w:val="22"/>
          <w:szCs w:val="22"/>
        </w:rPr>
        <w:t>gNB</w:t>
      </w:r>
      <w:proofErr w:type="spellEnd"/>
      <w:r>
        <w:rPr>
          <w:sz w:val="22"/>
          <w:szCs w:val="22"/>
        </w:rPr>
        <w:t xml:space="preserve"> transmits scheduling DCI, </w:t>
      </w:r>
      <w:proofErr w:type="spellStart"/>
      <w:r>
        <w:rPr>
          <w:sz w:val="22"/>
          <w:szCs w:val="22"/>
        </w:rPr>
        <w:t>gNB</w:t>
      </w:r>
      <w:proofErr w:type="spellEnd"/>
      <w:r>
        <w:rPr>
          <w:sz w:val="22"/>
          <w:szCs w:val="22"/>
        </w:rPr>
        <w:t xml:space="preserve"> should be aware of whether the HARQ A/N transmission corresponding to the scheduling data will be performed within the same shared COT or not according to remaining COT duration after the scheduling DCI transmission. For the HARQ A/N transmission within the </w:t>
      </w:r>
      <w:proofErr w:type="spellStart"/>
      <w:r>
        <w:rPr>
          <w:sz w:val="22"/>
          <w:szCs w:val="22"/>
        </w:rPr>
        <w:t>gNB</w:t>
      </w:r>
      <w:proofErr w:type="spellEnd"/>
      <w:r>
        <w:rPr>
          <w:sz w:val="22"/>
          <w:szCs w:val="22"/>
        </w:rPr>
        <w:t xml:space="preserve">-initiated COT, there are two possible channel access schemes; one is Cat 1 immediate transmission for the case where the gap from the end of DL to the beginning of the UL burst is not more than 16 </w:t>
      </w:r>
      <w:proofErr w:type="spellStart"/>
      <w:r>
        <w:rPr>
          <w:sz w:val="22"/>
          <w:szCs w:val="22"/>
        </w:rPr>
        <w:t>usec</w:t>
      </w:r>
      <w:proofErr w:type="spellEnd"/>
      <w:r>
        <w:rPr>
          <w:sz w:val="22"/>
          <w:szCs w:val="22"/>
        </w:rPr>
        <w:t xml:space="preserve">, and another is Cat 2 LBT for the case where the gap is not more than 25 </w:t>
      </w:r>
      <w:proofErr w:type="spellStart"/>
      <w:r>
        <w:rPr>
          <w:sz w:val="22"/>
          <w:szCs w:val="22"/>
        </w:rPr>
        <w:t>usec</w:t>
      </w:r>
      <w:proofErr w:type="spellEnd"/>
      <w:r>
        <w:rPr>
          <w:sz w:val="22"/>
          <w:szCs w:val="22"/>
        </w:rPr>
        <w:t xml:space="preserve"> (but more than 16 </w:t>
      </w:r>
      <w:proofErr w:type="spellStart"/>
      <w:r>
        <w:rPr>
          <w:sz w:val="22"/>
          <w:szCs w:val="22"/>
        </w:rPr>
        <w:t>usec</w:t>
      </w:r>
      <w:proofErr w:type="spellEnd"/>
      <w:r>
        <w:rPr>
          <w:sz w:val="22"/>
          <w:szCs w:val="22"/>
        </w:rPr>
        <w:t xml:space="preserve">). Since the 16 or 25 </w:t>
      </w:r>
      <w:proofErr w:type="spellStart"/>
      <w:r>
        <w:rPr>
          <w:sz w:val="22"/>
          <w:szCs w:val="22"/>
        </w:rPr>
        <w:t>usec</w:t>
      </w:r>
      <w:proofErr w:type="spellEnd"/>
      <w:r>
        <w:rPr>
          <w:sz w:val="22"/>
          <w:szCs w:val="22"/>
        </w:rPr>
        <w:t xml:space="preserve"> gap duration is not matched to the duration of one or multiple OFDM symbols, partial symbol transmission at the end of DL transmission based on shortening of DL or partial symbol transmission at the beginning of UL transmission based on TA or CP extension would be necessary to achieve the gap less than 16 or 25 us, according to the following agreement made at the RAN1 #NR-AH1901 meeting [2]. </w:t>
      </w:r>
    </w:p>
    <w:tbl>
      <w:tblPr>
        <w:tblStyle w:val="afa"/>
        <w:tblW w:w="0" w:type="auto"/>
        <w:tblLook w:val="04A0" w:firstRow="1" w:lastRow="0" w:firstColumn="1" w:lastColumn="0" w:noHBand="0" w:noVBand="1"/>
      </w:tblPr>
      <w:tblGrid>
        <w:gridCol w:w="9962"/>
      </w:tblGrid>
      <w:tr w:rsidR="004A46E6" w14:paraId="021648FC" w14:textId="77777777" w:rsidTr="00262FA7">
        <w:tc>
          <w:tcPr>
            <w:tcW w:w="9962" w:type="dxa"/>
          </w:tcPr>
          <w:p w14:paraId="55EAFA84" w14:textId="77777777" w:rsidR="004A46E6" w:rsidRPr="00576539" w:rsidRDefault="004A46E6" w:rsidP="00262FA7">
            <w:pPr>
              <w:rPr>
                <w:rFonts w:ascii="Times" w:eastAsia="Batang" w:hAnsi="Times" w:cs="Times"/>
                <w:sz w:val="20"/>
                <w:lang w:val="en-US" w:eastAsia="x-none"/>
              </w:rPr>
            </w:pPr>
            <w:r w:rsidRPr="00576539">
              <w:rPr>
                <w:rFonts w:ascii="Times" w:eastAsia="Batang" w:hAnsi="Times" w:cs="Times"/>
                <w:sz w:val="20"/>
                <w:highlight w:val="green"/>
                <w:lang w:val="en-US" w:eastAsia="x-none"/>
              </w:rPr>
              <w:t>Agreement:</w:t>
            </w:r>
            <w:r w:rsidRPr="00576539">
              <w:rPr>
                <w:rFonts w:ascii="Times" w:eastAsia="Batang" w:hAnsi="Times" w:cs="Times"/>
                <w:sz w:val="20"/>
                <w:lang w:val="en-US" w:eastAsia="x-none"/>
              </w:rPr>
              <w:t xml:space="preserve"> </w:t>
            </w:r>
          </w:p>
          <w:p w14:paraId="329981A8" w14:textId="77777777" w:rsidR="004A46E6" w:rsidRPr="00576539" w:rsidRDefault="004A46E6" w:rsidP="00262FA7">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A gap (DL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UL, UL</w:t>
            </w:r>
            <w:r w:rsidRPr="00576539">
              <w:rPr>
                <w:rFonts w:ascii="Times" w:eastAsia="Batang" w:hAnsi="Times" w:cs="Times"/>
                <w:sz w:val="20"/>
                <w:lang w:val="en-US" w:eastAsia="x-none"/>
              </w:rPr>
              <w:sym w:font="Wingdings" w:char="F0E0"/>
            </w:r>
            <w:proofErr w:type="spellStart"/>
            <w:r w:rsidRPr="00576539">
              <w:rPr>
                <w:rFonts w:ascii="Times" w:eastAsia="Batang" w:hAnsi="Times" w:cs="Times"/>
                <w:sz w:val="20"/>
                <w:lang w:val="en-US" w:eastAsia="x-none"/>
              </w:rPr>
              <w:t>UL</w:t>
            </w:r>
            <w:proofErr w:type="spellEnd"/>
            <w:r w:rsidRPr="00576539">
              <w:rPr>
                <w:rFonts w:ascii="Times" w:eastAsia="Batang" w:hAnsi="Times" w:cs="Times"/>
                <w:sz w:val="20"/>
                <w:lang w:val="en-US" w:eastAsia="x-none"/>
              </w:rPr>
              <w:t>, or UL</w:t>
            </w:r>
            <w:r w:rsidRPr="00576539">
              <w:rPr>
                <w:rFonts w:ascii="Times" w:eastAsia="Batang" w:hAnsi="Times" w:cs="Times"/>
                <w:sz w:val="20"/>
                <w:lang w:val="en-US" w:eastAsia="x-none"/>
              </w:rPr>
              <w:sym w:font="Wingdings" w:char="F0E0"/>
            </w:r>
            <w:r w:rsidRPr="00576539">
              <w:rPr>
                <w:rFonts w:ascii="Times" w:eastAsia="Batang" w:hAnsi="Times" w:cs="Times"/>
                <w:sz w:val="20"/>
                <w:lang w:val="en-US" w:eastAsia="x-none"/>
              </w:rPr>
              <w:t xml:space="preserve"> DL) of a specific duration is created using one or more of:</w:t>
            </w:r>
          </w:p>
          <w:p w14:paraId="460FCC7E"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Timing Advance </w:t>
            </w:r>
          </w:p>
          <w:p w14:paraId="6724DC08"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 xml:space="preserve">CP extension </w:t>
            </w:r>
          </w:p>
          <w:p w14:paraId="0C1A0C15" w14:textId="77777777" w:rsidR="004A46E6" w:rsidRPr="00576539" w:rsidRDefault="004A46E6" w:rsidP="00262FA7">
            <w:pPr>
              <w:numPr>
                <w:ilvl w:val="2"/>
                <w:numId w:val="21"/>
              </w:numPr>
              <w:rPr>
                <w:rFonts w:ascii="Times" w:eastAsia="Batang" w:hAnsi="Times" w:cs="Times"/>
                <w:sz w:val="20"/>
                <w:lang w:val="en-US" w:eastAsia="x-none"/>
              </w:rPr>
            </w:pPr>
            <w:r w:rsidRPr="00576539">
              <w:rPr>
                <w:rFonts w:ascii="Times" w:eastAsia="Batang" w:hAnsi="Times" w:cs="Times"/>
                <w:sz w:val="20"/>
                <w:lang w:val="en-US" w:eastAsia="x-none"/>
              </w:rPr>
              <w:t>max value of not more than one OFDM symbol</w:t>
            </w:r>
          </w:p>
          <w:p w14:paraId="5E4E27B1"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Shortening of DL or UL transmission duration by one or more OFDM-symbol(s) by puncturing or rate matching</w:t>
            </w:r>
          </w:p>
          <w:p w14:paraId="775595A0" w14:textId="77777777" w:rsidR="004A46E6" w:rsidRPr="00576539" w:rsidRDefault="004A46E6" w:rsidP="00262FA7">
            <w:pPr>
              <w:numPr>
                <w:ilvl w:val="1"/>
                <w:numId w:val="21"/>
              </w:numPr>
              <w:rPr>
                <w:rFonts w:ascii="Times" w:eastAsia="Batang" w:hAnsi="Times" w:cs="Times"/>
                <w:sz w:val="20"/>
                <w:lang w:val="en-US" w:eastAsia="x-none"/>
              </w:rPr>
            </w:pPr>
            <w:r w:rsidRPr="00576539">
              <w:rPr>
                <w:rFonts w:ascii="Times" w:eastAsia="Batang" w:hAnsi="Times" w:cs="Times"/>
                <w:sz w:val="20"/>
                <w:lang w:val="en-US" w:eastAsia="x-none"/>
              </w:rPr>
              <w:t>Note: the mechanisms applied in each case may be different for different SCSs</w:t>
            </w:r>
          </w:p>
          <w:p w14:paraId="295A23A5" w14:textId="77777777" w:rsidR="004A46E6" w:rsidRPr="00576539" w:rsidRDefault="004A46E6" w:rsidP="00262FA7">
            <w:pPr>
              <w:numPr>
                <w:ilvl w:val="0"/>
                <w:numId w:val="22"/>
              </w:numPr>
              <w:rPr>
                <w:rFonts w:ascii="Times" w:eastAsia="Batang" w:hAnsi="Times" w:cs="Times"/>
                <w:sz w:val="20"/>
                <w:lang w:val="en-US" w:eastAsia="x-none"/>
              </w:rPr>
            </w:pPr>
            <w:r w:rsidRPr="00576539">
              <w:rPr>
                <w:rFonts w:ascii="Times" w:eastAsia="Batang" w:hAnsi="Times" w:cs="Times"/>
                <w:sz w:val="20"/>
                <w:lang w:val="en-US" w:eastAsia="x-none"/>
              </w:rPr>
              <w:t>FFS: how to signal the way of creating the gap to the UEs</w:t>
            </w:r>
          </w:p>
        </w:tc>
      </w:tr>
    </w:tbl>
    <w:p w14:paraId="2BFAAF6F" w14:textId="77777777" w:rsidR="004A46E6" w:rsidRDefault="004A46E6" w:rsidP="004A46E6">
      <w:pPr>
        <w:spacing w:afterLines="50" w:after="120"/>
        <w:rPr>
          <w:sz w:val="22"/>
          <w:szCs w:val="22"/>
        </w:rPr>
      </w:pPr>
    </w:p>
    <w:p w14:paraId="4B28FE88" w14:textId="77777777" w:rsidR="004A46E6" w:rsidRDefault="004A46E6" w:rsidP="004A46E6">
      <w:pPr>
        <w:spacing w:afterLines="50" w:after="120"/>
        <w:rPr>
          <w:sz w:val="22"/>
          <w:szCs w:val="22"/>
        </w:rPr>
      </w:pPr>
      <w:r>
        <w:rPr>
          <w:sz w:val="22"/>
          <w:szCs w:val="22"/>
        </w:rPr>
        <w:t xml:space="preserve">In case of the gap from DL to UL, shortening of last DL symbol by puncturing or rate matching would be the easiest way to control gap duration since it does not need a signalling for UE regarding the way of creating the gap. Therefore, since the duration of the gap between the end of DL and the beginning of UL could be determined by </w:t>
      </w:r>
      <w:proofErr w:type="spellStart"/>
      <w:r>
        <w:rPr>
          <w:sz w:val="22"/>
          <w:szCs w:val="22"/>
        </w:rPr>
        <w:t>gNB</w:t>
      </w:r>
      <w:proofErr w:type="spellEnd"/>
      <w:r>
        <w:rPr>
          <w:sz w:val="22"/>
          <w:szCs w:val="22"/>
        </w:rPr>
        <w:t xml:space="preserve"> and UE would not be able to measure the gap duration, channel access scheme for HARQ A/N transmission should be indicated in scheduling DCI. Such channel access scheme indication is also beneficial to distinguish HARQ A/N transmission in the same shared COT (i.e., Cat.1 or Cat.2) or outside the shared COT (i.e., Cat.4).</w:t>
      </w:r>
    </w:p>
    <w:p w14:paraId="7EB983A4" w14:textId="2B6B130B"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hint="eastAsia"/>
          <w:b/>
          <w:sz w:val="22"/>
          <w:szCs w:val="22"/>
          <w:u w:val="single"/>
        </w:rPr>
        <w:t>4</w:t>
      </w:r>
      <w:r>
        <w:rPr>
          <w:rFonts w:eastAsia="游明朝" w:hint="eastAsia"/>
          <w:b/>
          <w:sz w:val="22"/>
          <w:szCs w:val="22"/>
        </w:rPr>
        <w:t xml:space="preserve">: </w:t>
      </w:r>
      <w:r>
        <w:rPr>
          <w:rFonts w:eastAsia="游明朝"/>
          <w:b/>
          <w:sz w:val="22"/>
          <w:szCs w:val="22"/>
        </w:rPr>
        <w:t>The channel access scheme for HARQ A/N transmission is indicated in the scheduling DCI.</w:t>
      </w:r>
    </w:p>
    <w:p w14:paraId="2DFC1B6C" w14:textId="77777777" w:rsidR="004A46E6" w:rsidRPr="007F2C1B" w:rsidRDefault="004A46E6" w:rsidP="004A46E6">
      <w:pPr>
        <w:spacing w:afterLines="50" w:after="120"/>
        <w:rPr>
          <w:sz w:val="22"/>
          <w:szCs w:val="22"/>
        </w:rPr>
      </w:pPr>
    </w:p>
    <w:p w14:paraId="3BB4C6FE" w14:textId="77777777" w:rsidR="004A46E6" w:rsidRDefault="004A46E6" w:rsidP="004A46E6">
      <w:pPr>
        <w:spacing w:afterLines="50" w:after="120"/>
        <w:rPr>
          <w:sz w:val="22"/>
          <w:szCs w:val="22"/>
        </w:rPr>
      </w:pPr>
      <w:r>
        <w:rPr>
          <w:rFonts w:hint="eastAsia"/>
          <w:sz w:val="22"/>
          <w:szCs w:val="22"/>
        </w:rPr>
        <w:lastRenderedPageBreak/>
        <w:t xml:space="preserve">At the </w:t>
      </w:r>
      <w:r>
        <w:rPr>
          <w:sz w:val="22"/>
          <w:szCs w:val="22"/>
        </w:rPr>
        <w:t>beginning</w:t>
      </w:r>
      <w:r>
        <w:rPr>
          <w:rFonts w:hint="eastAsia"/>
          <w:sz w:val="22"/>
          <w:szCs w:val="22"/>
        </w:rPr>
        <w:t xml:space="preserve"> </w:t>
      </w:r>
      <w:r>
        <w:rPr>
          <w:sz w:val="22"/>
          <w:szCs w:val="22"/>
        </w:rPr>
        <w:t xml:space="preserve">of UL transmission just after the gap of 16us or 25us, the signal may be distorted due to transition from Rx to </w:t>
      </w:r>
      <w:proofErr w:type="spellStart"/>
      <w:r>
        <w:rPr>
          <w:sz w:val="22"/>
          <w:szCs w:val="22"/>
        </w:rPr>
        <w:t>Tx</w:t>
      </w:r>
      <w:proofErr w:type="spellEnd"/>
      <w:r>
        <w:rPr>
          <w:sz w:val="22"/>
          <w:szCs w:val="22"/>
        </w:rPr>
        <w:t xml:space="preserve"> within the short time gap. Therefore, CP extension at the beginning of UL transmission just after the gap from DL to UL within </w:t>
      </w:r>
      <w:proofErr w:type="spellStart"/>
      <w:r>
        <w:rPr>
          <w:sz w:val="22"/>
          <w:szCs w:val="22"/>
        </w:rPr>
        <w:t>gNB</w:t>
      </w:r>
      <w:proofErr w:type="spellEnd"/>
      <w:r>
        <w:rPr>
          <w:sz w:val="22"/>
          <w:szCs w:val="22"/>
        </w:rPr>
        <w:t xml:space="preserve">-initiated COT would be beneficial. If the signal distortion due to transition within the gap occurs in all possible cases, such CP extension can be always performed at the beginning of UL transmission just after the gap from DL to UL within </w:t>
      </w:r>
      <w:proofErr w:type="spellStart"/>
      <w:r>
        <w:rPr>
          <w:sz w:val="22"/>
          <w:szCs w:val="22"/>
        </w:rPr>
        <w:t>gNB</w:t>
      </w:r>
      <w:proofErr w:type="spellEnd"/>
      <w:r>
        <w:rPr>
          <w:sz w:val="22"/>
          <w:szCs w:val="22"/>
        </w:rPr>
        <w:t xml:space="preserve">-initiated COT. If the signal distortion does not occur in some case, </w:t>
      </w:r>
      <w:proofErr w:type="spellStart"/>
      <w:r>
        <w:rPr>
          <w:sz w:val="22"/>
          <w:szCs w:val="22"/>
        </w:rPr>
        <w:t>gNB</w:t>
      </w:r>
      <w:proofErr w:type="spellEnd"/>
      <w:r>
        <w:rPr>
          <w:sz w:val="22"/>
          <w:szCs w:val="22"/>
        </w:rPr>
        <w:t xml:space="preserve"> can indicate whether CP extension is necessary or not to UE in the scheduling DCI.</w:t>
      </w:r>
    </w:p>
    <w:p w14:paraId="2142C010" w14:textId="383B2CDF"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The CP extension is performed at the beginning of UL transmission just after the gap from DL to UL within </w:t>
      </w:r>
      <w:proofErr w:type="spellStart"/>
      <w:r>
        <w:rPr>
          <w:rFonts w:eastAsia="游明朝"/>
          <w:b/>
          <w:sz w:val="22"/>
          <w:szCs w:val="22"/>
        </w:rPr>
        <w:t>gNB</w:t>
      </w:r>
      <w:proofErr w:type="spellEnd"/>
      <w:r>
        <w:rPr>
          <w:rFonts w:eastAsia="游明朝"/>
          <w:b/>
          <w:sz w:val="22"/>
          <w:szCs w:val="22"/>
        </w:rPr>
        <w:t>-initiated COT.</w:t>
      </w:r>
    </w:p>
    <w:p w14:paraId="18CEEBB9" w14:textId="77777777" w:rsidR="004A46E6" w:rsidRPr="004B6DB0" w:rsidRDefault="004A46E6" w:rsidP="004A46E6">
      <w:pPr>
        <w:spacing w:afterLines="50" w:after="120"/>
        <w:rPr>
          <w:sz w:val="22"/>
          <w:szCs w:val="22"/>
        </w:rPr>
      </w:pPr>
    </w:p>
    <w:p w14:paraId="5535DDBD" w14:textId="77777777" w:rsidR="004A46E6" w:rsidRDefault="004A46E6" w:rsidP="004A46E6">
      <w:pPr>
        <w:spacing w:afterLines="50" w:after="120"/>
        <w:rPr>
          <w:sz w:val="22"/>
          <w:szCs w:val="22"/>
          <w:lang w:val="en-US"/>
        </w:rPr>
      </w:pPr>
      <w:r>
        <w:rPr>
          <w:rFonts w:hint="eastAsia"/>
          <w:sz w:val="22"/>
          <w:szCs w:val="22"/>
        </w:rPr>
        <w:t xml:space="preserve">To support </w:t>
      </w:r>
      <w:r>
        <w:rPr>
          <w:sz w:val="22"/>
          <w:szCs w:val="22"/>
        </w:rPr>
        <w:t xml:space="preserve">HARQ A/N transmission for </w:t>
      </w:r>
      <w:r>
        <w:rPr>
          <w:sz w:val="22"/>
          <w:szCs w:val="22"/>
          <w:lang w:val="en-US"/>
        </w:rPr>
        <w:t xml:space="preserve">corresponding data in the same shared COT, extending PDSCH-to-HARQ feedback timing indicator was agreed as beneficial to support indicating timings up to the end of longest COT allowed by regulations. For example, assuming 10ms COT duration and 60kHz SCS, there are 40 slots within 10ms COT duration and current maximum value of PDSCH-to-HARQ feedback timing indicator, i.e., 15 seems not sufficient. However, since Rel-16 NR-U does not support 60kHz SCS for SS/PBCH block, usage of 60kHz SCS may be limited to some specific scenario and 15kHz or 30kHz SCS would be mainly used on NR-U carrier for single numerology operation. In case of 15kHz or 30kHz SCS, even assuming 10ms COT, current maximum value of PDSCH-to-HARQ feedback timing indicator would be sufficient since number of slots within a 10 </w:t>
      </w:r>
      <w:proofErr w:type="spellStart"/>
      <w:r>
        <w:rPr>
          <w:sz w:val="22"/>
          <w:szCs w:val="22"/>
          <w:lang w:val="en-US"/>
        </w:rPr>
        <w:t>ms</w:t>
      </w:r>
      <w:proofErr w:type="spellEnd"/>
      <w:r>
        <w:rPr>
          <w:sz w:val="22"/>
          <w:szCs w:val="22"/>
          <w:lang w:val="en-US"/>
        </w:rPr>
        <w:t xml:space="preserve"> COT is 10 for 15kHz and 20 for 30kHz SCS while current maximum value of PDSCH-to-HARQ feedback timing indicator is 15. In other words, new value larger than 15 will be used only when the HARQ feedback is located over 15 slots away from corresponding PDSCH within the same COT. Regarding the size of PDSCH-to-HARQ feedback timing indicator which is currently 3bits, we consider that extending it to more than 3bits is just an optimization for flexibility and NR-U can work well even without extension as argued in section 2.1. Therefore, we propose to not extend the PDSCH-to-HARQ feedback timing indicator for HARQ A/N transmission for corresponding data in the same shared COT.</w:t>
      </w:r>
    </w:p>
    <w:p w14:paraId="0E888B15" w14:textId="49F2F461"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Rel-16 NR-U, new value for </w:t>
      </w:r>
      <w:r w:rsidRPr="001F49EB">
        <w:rPr>
          <w:rFonts w:eastAsia="游明朝"/>
          <w:b/>
          <w:sz w:val="22"/>
          <w:szCs w:val="22"/>
        </w:rPr>
        <w:t>PDSCH-to-HARQ feedback timing indicator</w:t>
      </w:r>
      <w:r>
        <w:rPr>
          <w:rFonts w:eastAsia="游明朝"/>
          <w:b/>
          <w:sz w:val="22"/>
          <w:szCs w:val="22"/>
        </w:rPr>
        <w:t xml:space="preserve"> (i.e., extending the maximum value of </w:t>
      </w:r>
      <w:r w:rsidRPr="001F49EB">
        <w:rPr>
          <w:rFonts w:eastAsia="游明朝"/>
          <w:b/>
          <w:sz w:val="22"/>
          <w:szCs w:val="22"/>
        </w:rPr>
        <w:t>dl-</w:t>
      </w:r>
      <w:proofErr w:type="spellStart"/>
      <w:r w:rsidRPr="001F49EB">
        <w:rPr>
          <w:rFonts w:eastAsia="游明朝"/>
          <w:b/>
          <w:sz w:val="22"/>
          <w:szCs w:val="22"/>
        </w:rPr>
        <w:t>DataToUL</w:t>
      </w:r>
      <w:proofErr w:type="spellEnd"/>
      <w:r w:rsidRPr="001F49EB">
        <w:rPr>
          <w:rFonts w:eastAsia="游明朝"/>
          <w:b/>
          <w:sz w:val="22"/>
          <w:szCs w:val="22"/>
        </w:rPr>
        <w:t>-ACK</w:t>
      </w:r>
      <w:r>
        <w:rPr>
          <w:rFonts w:eastAsia="游明朝"/>
          <w:b/>
          <w:sz w:val="22"/>
          <w:szCs w:val="22"/>
        </w:rPr>
        <w:t xml:space="preserve"> from 15) is not supported for HARQ A/N transmission for corresponding data in the same shared COT, and the size of </w:t>
      </w:r>
      <w:r w:rsidRPr="001F49EB">
        <w:rPr>
          <w:rFonts w:eastAsia="游明朝"/>
          <w:b/>
          <w:sz w:val="22"/>
          <w:szCs w:val="22"/>
        </w:rPr>
        <w:t>PDSCH-to-HARQ feedback timing indicator</w:t>
      </w:r>
      <w:r>
        <w:rPr>
          <w:rFonts w:eastAsia="游明朝"/>
          <w:b/>
          <w:sz w:val="22"/>
          <w:szCs w:val="22"/>
        </w:rPr>
        <w:t xml:space="preserve"> field is same as in Rel-15.</w:t>
      </w:r>
    </w:p>
    <w:p w14:paraId="264F0F83" w14:textId="77777777" w:rsidR="004A46E6" w:rsidRPr="004A46E6" w:rsidRDefault="004A46E6" w:rsidP="00937079">
      <w:pPr>
        <w:spacing w:afterLines="50" w:after="120"/>
        <w:rPr>
          <w:sz w:val="22"/>
          <w:szCs w:val="22"/>
        </w:rPr>
      </w:pPr>
    </w:p>
    <w:p w14:paraId="33F6E87D" w14:textId="4981B7A9" w:rsidR="00D90DCB" w:rsidRDefault="00D90DCB" w:rsidP="005C7976">
      <w:pPr>
        <w:spacing w:afterLines="50" w:after="120"/>
        <w:rPr>
          <w:sz w:val="22"/>
          <w:szCs w:val="22"/>
        </w:rPr>
      </w:pPr>
    </w:p>
    <w:p w14:paraId="106F98A7" w14:textId="369DA376" w:rsidR="004A46E6" w:rsidRPr="004A46E6" w:rsidRDefault="004A46E6" w:rsidP="004A46E6">
      <w:pPr>
        <w:pStyle w:val="2"/>
        <w:rPr>
          <w:sz w:val="22"/>
          <w:szCs w:val="22"/>
        </w:rPr>
      </w:pPr>
      <w:r>
        <w:rPr>
          <w:rFonts w:hint="eastAsia"/>
          <w:sz w:val="22"/>
          <w:szCs w:val="22"/>
        </w:rPr>
        <w:t>2.4</w:t>
      </w:r>
      <w:r>
        <w:rPr>
          <w:rFonts w:hint="eastAsia"/>
          <w:sz w:val="22"/>
          <w:szCs w:val="22"/>
        </w:rPr>
        <w:tab/>
      </w:r>
      <w:r w:rsidR="00EC7A8B">
        <w:rPr>
          <w:sz w:val="22"/>
          <w:szCs w:val="22"/>
        </w:rPr>
        <w:t>UCI transmission in case of CA between licensed and unlicensed carriers</w:t>
      </w:r>
    </w:p>
    <w:p w14:paraId="438D9C78" w14:textId="77777777" w:rsidR="004A46E6" w:rsidRPr="004A46E6" w:rsidRDefault="004A46E6" w:rsidP="004A46E6">
      <w:pPr>
        <w:spacing w:afterLines="50" w:after="120"/>
        <w:rPr>
          <w:sz w:val="22"/>
          <w:szCs w:val="22"/>
        </w:rPr>
      </w:pPr>
      <w:r w:rsidRPr="004A46E6">
        <w:rPr>
          <w:sz w:val="22"/>
          <w:szCs w:val="22"/>
        </w:rPr>
        <w:t>In scenario A with the case where both licensed NR carrier and unlicensed NR carrier have UL, RAN1 should consider whether UCI (especially regarding licensed NR carrier) can be sent on unlicensed NR carrier. In LTE-LAA, UCI regarding licensed NR carrier is always sent on licenced NR carrier and simultaneous PUCCH/PUSCH transmission capability is required for UL LAA operation. We think that LTE-LAA principle should be applied to NR-U in case of CA between licensed and unlicensed NR carriers.</w:t>
      </w:r>
    </w:p>
    <w:p w14:paraId="2AB86F4D" w14:textId="768B8564" w:rsidR="004A46E6" w:rsidRDefault="004A46E6" w:rsidP="004A46E6">
      <w:pPr>
        <w:spacing w:afterLines="50" w:after="120"/>
        <w:jc w:val="both"/>
        <w:rPr>
          <w:rFonts w:eastAsia="游明朝"/>
          <w:b/>
          <w:sz w:val="22"/>
          <w:szCs w:val="22"/>
        </w:rPr>
      </w:pPr>
      <w:r w:rsidRPr="000E2A62">
        <w:rPr>
          <w:rFonts w:eastAsia="游明朝"/>
          <w:b/>
          <w:sz w:val="22"/>
          <w:szCs w:val="22"/>
          <w:u w:val="single"/>
        </w:rPr>
        <w:t>Proposal</w:t>
      </w:r>
      <w:r w:rsidRPr="000E2A62">
        <w:rPr>
          <w:rFonts w:eastAsia="游明朝" w:hint="eastAsia"/>
          <w:b/>
          <w:sz w:val="22"/>
          <w:szCs w:val="22"/>
          <w:u w:val="single"/>
        </w:rPr>
        <w:t xml:space="preserve"> </w:t>
      </w:r>
      <w:r w:rsidR="00EC7A8B">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 xml:space="preserve">In case of CA between licensed NR </w:t>
      </w:r>
      <w:proofErr w:type="spellStart"/>
      <w:r>
        <w:rPr>
          <w:rFonts w:eastAsia="游明朝"/>
          <w:b/>
          <w:sz w:val="22"/>
          <w:szCs w:val="22"/>
        </w:rPr>
        <w:t>PCell</w:t>
      </w:r>
      <w:proofErr w:type="spellEnd"/>
      <w:r>
        <w:rPr>
          <w:rFonts w:eastAsia="游明朝"/>
          <w:b/>
          <w:sz w:val="22"/>
          <w:szCs w:val="22"/>
        </w:rPr>
        <w:t xml:space="preserve"> and unlicensed NR </w:t>
      </w:r>
      <w:proofErr w:type="spellStart"/>
      <w:r>
        <w:rPr>
          <w:rFonts w:eastAsia="游明朝"/>
          <w:b/>
          <w:sz w:val="22"/>
          <w:szCs w:val="22"/>
        </w:rPr>
        <w:t>SCell</w:t>
      </w:r>
      <w:proofErr w:type="spellEnd"/>
      <w:r>
        <w:rPr>
          <w:rFonts w:eastAsia="游明朝"/>
          <w:b/>
          <w:sz w:val="22"/>
          <w:szCs w:val="22"/>
        </w:rPr>
        <w:t>, UCI regarding licensed NR carrier(s) is always sent on licensed NR carrier</w:t>
      </w:r>
      <w:r w:rsidRPr="000E2A62">
        <w:rPr>
          <w:rFonts w:eastAsia="游明朝"/>
          <w:b/>
          <w:sz w:val="22"/>
          <w:szCs w:val="22"/>
        </w:rPr>
        <w:t>.</w:t>
      </w:r>
    </w:p>
    <w:p w14:paraId="0092B04C" w14:textId="77777777" w:rsidR="004A46E6" w:rsidRPr="00D27C88" w:rsidRDefault="004A46E6" w:rsidP="004A46E6">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w:t>
      </w:r>
      <w:proofErr w:type="spellStart"/>
      <w:r>
        <w:rPr>
          <w:rFonts w:eastAsia="游明朝" w:hint="eastAsia"/>
          <w:b/>
          <w:sz w:val="22"/>
          <w:szCs w:val="22"/>
        </w:rPr>
        <w:t>SCell</w:t>
      </w:r>
      <w:proofErr w:type="spellEnd"/>
      <w:r>
        <w:rPr>
          <w:rFonts w:eastAsia="游明朝" w:hint="eastAsia"/>
          <w:b/>
          <w:sz w:val="22"/>
          <w:szCs w:val="22"/>
        </w:rPr>
        <w:t xml:space="preserve"> </w:t>
      </w:r>
      <w:r>
        <w:rPr>
          <w:rFonts w:eastAsia="游明朝"/>
          <w:b/>
          <w:sz w:val="22"/>
          <w:szCs w:val="22"/>
        </w:rPr>
        <w:t xml:space="preserve">in the scenario, simultaneous transmission with PUCCH on licensed NR </w:t>
      </w:r>
      <w:proofErr w:type="spellStart"/>
      <w:r>
        <w:rPr>
          <w:rFonts w:eastAsia="游明朝"/>
          <w:b/>
          <w:sz w:val="22"/>
          <w:szCs w:val="22"/>
        </w:rPr>
        <w:t>PCell</w:t>
      </w:r>
      <w:proofErr w:type="spellEnd"/>
      <w:r>
        <w:rPr>
          <w:rFonts w:eastAsia="游明朝"/>
          <w:b/>
          <w:sz w:val="22"/>
          <w:szCs w:val="22"/>
        </w:rPr>
        <w:t xml:space="preserve"> is necessary.</w:t>
      </w:r>
    </w:p>
    <w:p w14:paraId="1EB15AE8" w14:textId="2EDDBBDE" w:rsidR="004A46E6" w:rsidRDefault="004A46E6" w:rsidP="005C7976">
      <w:pPr>
        <w:spacing w:afterLines="50" w:after="120"/>
        <w:rPr>
          <w:sz w:val="22"/>
          <w:szCs w:val="22"/>
        </w:rPr>
      </w:pPr>
    </w:p>
    <w:p w14:paraId="0B7CFEF4" w14:textId="66691188" w:rsidR="00EC7A8B" w:rsidRDefault="00EC7A8B" w:rsidP="005C7976">
      <w:pPr>
        <w:spacing w:afterLines="50" w:after="120"/>
        <w:rPr>
          <w:sz w:val="22"/>
          <w:szCs w:val="22"/>
        </w:rPr>
      </w:pPr>
    </w:p>
    <w:p w14:paraId="411CA22C" w14:textId="3DB0CBBE" w:rsidR="00EC7A8B" w:rsidRPr="004A46E6" w:rsidRDefault="00EC7A8B" w:rsidP="00EC7A8B">
      <w:pPr>
        <w:pStyle w:val="2"/>
        <w:rPr>
          <w:sz w:val="22"/>
          <w:szCs w:val="22"/>
        </w:rPr>
      </w:pPr>
      <w:r>
        <w:rPr>
          <w:rFonts w:hint="eastAsia"/>
          <w:sz w:val="22"/>
          <w:szCs w:val="22"/>
        </w:rPr>
        <w:t>2.5</w:t>
      </w:r>
      <w:r>
        <w:rPr>
          <w:rFonts w:hint="eastAsia"/>
          <w:sz w:val="22"/>
          <w:szCs w:val="22"/>
        </w:rPr>
        <w:tab/>
      </w:r>
      <w:r>
        <w:rPr>
          <w:sz w:val="22"/>
          <w:szCs w:val="22"/>
        </w:rPr>
        <w:t>2-stage UL grant for NR-U</w:t>
      </w:r>
    </w:p>
    <w:p w14:paraId="67D287DD" w14:textId="7AD4B44D" w:rsidR="00EC7A8B" w:rsidRPr="00EC7A8B" w:rsidRDefault="00EC7A8B" w:rsidP="005C7976">
      <w:pPr>
        <w:spacing w:afterLines="50" w:after="120"/>
        <w:rPr>
          <w:sz w:val="22"/>
          <w:szCs w:val="22"/>
        </w:rPr>
      </w:pPr>
      <w:r>
        <w:rPr>
          <w:rFonts w:hint="eastAsia"/>
          <w:sz w:val="22"/>
          <w:szCs w:val="22"/>
        </w:rPr>
        <w:t>LTE-LA</w:t>
      </w:r>
      <w:r>
        <w:rPr>
          <w:sz w:val="22"/>
          <w:szCs w:val="22"/>
        </w:rPr>
        <w:t xml:space="preserve">A supports 2-stage UL grant mechanism since UL scheduling delay is 4ms in LTE and PUSCH transmission may not be within the </w:t>
      </w:r>
      <w:proofErr w:type="spellStart"/>
      <w:r>
        <w:rPr>
          <w:sz w:val="22"/>
          <w:szCs w:val="22"/>
        </w:rPr>
        <w:t>eNB</w:t>
      </w:r>
      <w:proofErr w:type="spellEnd"/>
      <w:r>
        <w:rPr>
          <w:sz w:val="22"/>
          <w:szCs w:val="22"/>
        </w:rPr>
        <w:t xml:space="preserve">-initiated COT containing UL grant transmission. In NR, UL scheduling delay is much shorter than that in LTE, and hence the necessity of 2-stage UL grant mechanism seems unclear. </w:t>
      </w:r>
      <w:r>
        <w:rPr>
          <w:sz w:val="22"/>
          <w:szCs w:val="22"/>
        </w:rPr>
        <w:lastRenderedPageBreak/>
        <w:t xml:space="preserve">Considering the </w:t>
      </w:r>
      <w:r w:rsidR="00FA630F">
        <w:rPr>
          <w:sz w:val="22"/>
          <w:szCs w:val="22"/>
        </w:rPr>
        <w:t>NR-U design principle discussed in section 2.1, we think 2-stage UL grant for NR-U should be deprioritized in Rel-16.</w:t>
      </w:r>
    </w:p>
    <w:p w14:paraId="012B6567" w14:textId="2957CF2D" w:rsidR="004A46E6" w:rsidRDefault="004A46E6" w:rsidP="005C7976">
      <w:pPr>
        <w:spacing w:afterLines="50" w:after="120"/>
        <w:rPr>
          <w:sz w:val="22"/>
          <w:szCs w:val="22"/>
        </w:rPr>
      </w:pPr>
    </w:p>
    <w:p w14:paraId="28B3C3B2" w14:textId="7408495B" w:rsidR="007F73F2" w:rsidRDefault="007F73F2" w:rsidP="005C7976">
      <w:pPr>
        <w:spacing w:afterLines="50" w:after="120"/>
        <w:rPr>
          <w:sz w:val="22"/>
          <w:szCs w:val="22"/>
        </w:rPr>
      </w:pPr>
    </w:p>
    <w:p w14:paraId="06004F90" w14:textId="1BABC094" w:rsidR="007F73F2" w:rsidRPr="004A46E6" w:rsidRDefault="007F73F2" w:rsidP="007F73F2">
      <w:pPr>
        <w:pStyle w:val="2"/>
        <w:rPr>
          <w:sz w:val="22"/>
          <w:szCs w:val="22"/>
        </w:rPr>
      </w:pPr>
      <w:r>
        <w:rPr>
          <w:rFonts w:hint="eastAsia"/>
          <w:sz w:val="22"/>
          <w:szCs w:val="22"/>
        </w:rPr>
        <w:t>2.6</w:t>
      </w:r>
      <w:r>
        <w:rPr>
          <w:rFonts w:hint="eastAsia"/>
          <w:sz w:val="22"/>
          <w:szCs w:val="22"/>
        </w:rPr>
        <w:tab/>
      </w:r>
      <w:r w:rsidRPr="007F73F2">
        <w:rPr>
          <w:sz w:val="22"/>
          <w:szCs w:val="22"/>
        </w:rPr>
        <w:t xml:space="preserve">Scheduling </w:t>
      </w:r>
      <w:r>
        <w:rPr>
          <w:sz w:val="22"/>
          <w:szCs w:val="22"/>
        </w:rPr>
        <w:t xml:space="preserve">of </w:t>
      </w:r>
      <w:r w:rsidRPr="007F73F2">
        <w:rPr>
          <w:sz w:val="22"/>
          <w:szCs w:val="22"/>
        </w:rPr>
        <w:t>PUSCH over multiple slots/mini-slots by single DCI</w:t>
      </w:r>
    </w:p>
    <w:p w14:paraId="7CF31560" w14:textId="433B9F56" w:rsidR="007F73F2" w:rsidRDefault="007F73F2" w:rsidP="005C7976">
      <w:pPr>
        <w:spacing w:afterLines="50" w:after="120"/>
        <w:rPr>
          <w:sz w:val="22"/>
          <w:szCs w:val="22"/>
        </w:rPr>
      </w:pPr>
      <w:r>
        <w:rPr>
          <w:rFonts w:hint="eastAsia"/>
          <w:sz w:val="22"/>
          <w:szCs w:val="22"/>
        </w:rPr>
        <w:t xml:space="preserve">At the last RAN1 meeting, it was agreed to support scheduling of PUSCH over multiple slots/mini-slots by single DCI </w:t>
      </w:r>
      <w:r>
        <w:rPr>
          <w:sz w:val="22"/>
          <w:szCs w:val="22"/>
        </w:rPr>
        <w:t xml:space="preserve">at least for multiple continuous PUSCHs with separate </w:t>
      </w:r>
      <w:proofErr w:type="spellStart"/>
      <w:r>
        <w:rPr>
          <w:sz w:val="22"/>
          <w:szCs w:val="22"/>
        </w:rPr>
        <w:t>TBs.</w:t>
      </w:r>
      <w:proofErr w:type="spellEnd"/>
      <w:r w:rsidR="007600B9">
        <w:rPr>
          <w:sz w:val="22"/>
          <w:szCs w:val="22"/>
        </w:rPr>
        <w:t xml:space="preserve"> </w:t>
      </w:r>
      <w:r w:rsidR="00321A13">
        <w:rPr>
          <w:sz w:val="22"/>
          <w:szCs w:val="22"/>
        </w:rPr>
        <w:t>Similar to DCI format 0B/4B in LTE-LAA, some enhancements for UL grant from DCI for single-TTI scheduling should be considered.</w:t>
      </w:r>
    </w:p>
    <w:p w14:paraId="4D6075E8" w14:textId="090D80D3" w:rsidR="007F73F2" w:rsidRDefault="00321A13" w:rsidP="005C7976">
      <w:pPr>
        <w:spacing w:afterLines="50" w:after="120"/>
        <w:rPr>
          <w:sz w:val="22"/>
          <w:szCs w:val="22"/>
        </w:rPr>
      </w:pPr>
      <w:r>
        <w:rPr>
          <w:rFonts w:hint="eastAsia"/>
          <w:sz w:val="22"/>
          <w:szCs w:val="22"/>
        </w:rPr>
        <w:t xml:space="preserve">For example, </w:t>
      </w:r>
      <w:r>
        <w:rPr>
          <w:sz w:val="22"/>
          <w:szCs w:val="22"/>
        </w:rPr>
        <w:t xml:space="preserve">DCI for multi-TTI scheduling would have two information types; one is information common to all the scheduled slots/mini-slots and another is information specific to each slot/mini-slot. In LTE-LAA, information specific to each </w:t>
      </w:r>
      <w:proofErr w:type="spellStart"/>
      <w:r>
        <w:rPr>
          <w:sz w:val="22"/>
          <w:szCs w:val="22"/>
        </w:rPr>
        <w:t>subframe</w:t>
      </w:r>
      <w:proofErr w:type="spellEnd"/>
      <w:r>
        <w:rPr>
          <w:sz w:val="22"/>
          <w:szCs w:val="22"/>
        </w:rPr>
        <w:t xml:space="preserve"> is limited to NDI and RV (from only two candidates). For NR-U, it is possible to consider more slot/mini-slot specific indication for flexibility, e.g., individual HARQ process ID indication, flexible SRS trigger, and full flexible RV indication.</w:t>
      </w:r>
    </w:p>
    <w:p w14:paraId="6613C371" w14:textId="77777777" w:rsidR="00321A13" w:rsidRPr="007F73F2" w:rsidRDefault="00321A13" w:rsidP="005C7976">
      <w:pPr>
        <w:spacing w:afterLines="50" w:after="120"/>
        <w:rPr>
          <w:sz w:val="22"/>
          <w:szCs w:val="22"/>
        </w:rPr>
      </w:pPr>
    </w:p>
    <w:p w14:paraId="153CA005" w14:textId="77777777" w:rsidR="004A46E6" w:rsidRPr="00321A13" w:rsidRDefault="004A46E6" w:rsidP="005C7976">
      <w:pPr>
        <w:spacing w:afterLines="50" w:after="120"/>
        <w:rPr>
          <w:sz w:val="22"/>
          <w:szCs w:val="22"/>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3661BAE3" w14:textId="03EEA485" w:rsidR="00FE79AE" w:rsidRDefault="00FE79AE" w:rsidP="00FE79AE">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776981">
        <w:rPr>
          <w:rFonts w:eastAsia="ＭＳ 明朝"/>
          <w:sz w:val="22"/>
          <w:szCs w:val="22"/>
          <w:lang w:val="en-US"/>
        </w:rPr>
        <w:t xml:space="preserve">ed on </w:t>
      </w:r>
      <w:r w:rsidR="00D90DCB">
        <w:rPr>
          <w:rFonts w:eastAsia="ＭＳ 明朝"/>
          <w:sz w:val="22"/>
          <w:szCs w:val="22"/>
          <w:lang w:val="en-US"/>
        </w:rPr>
        <w:t>the potential HARQ enhancements for NR-U operation</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776981">
        <w:rPr>
          <w:rFonts w:eastAsia="ＭＳ 明朝" w:hint="eastAsia"/>
          <w:sz w:val="22"/>
          <w:szCs w:val="22"/>
          <w:lang w:val="en-US"/>
        </w:rPr>
        <w:t>proposal</w:t>
      </w:r>
      <w:r w:rsidR="00484F06">
        <w:rPr>
          <w:rFonts w:eastAsia="ＭＳ 明朝"/>
          <w:sz w:val="22"/>
          <w:szCs w:val="22"/>
          <w:lang w:val="en-US"/>
        </w:rPr>
        <w:t>s</w:t>
      </w:r>
      <w:r w:rsidR="00E15F38">
        <w:rPr>
          <w:rFonts w:eastAsia="ＭＳ 明朝" w:hint="eastAsia"/>
          <w:sz w:val="22"/>
          <w:szCs w:val="22"/>
          <w:lang w:val="en-US"/>
        </w:rPr>
        <w:t>.</w:t>
      </w:r>
    </w:p>
    <w:p w14:paraId="2AD3818C" w14:textId="7AF2DC53"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1</w:t>
      </w:r>
      <w:r>
        <w:rPr>
          <w:rFonts w:eastAsia="游明朝" w:hint="eastAsia"/>
          <w:b/>
          <w:sz w:val="22"/>
          <w:szCs w:val="22"/>
        </w:rPr>
        <w:t xml:space="preserve">: </w:t>
      </w:r>
      <w:r>
        <w:rPr>
          <w:rFonts w:eastAsia="游明朝"/>
          <w:b/>
          <w:sz w:val="22"/>
          <w:szCs w:val="22"/>
        </w:rPr>
        <w:t xml:space="preserve">For semi-static PDSCH HARQ-ACK codebook in NR-U, </w:t>
      </w:r>
      <w:r w:rsidRPr="001A4018">
        <w:rPr>
          <w:rFonts w:eastAsia="游明朝"/>
          <w:b/>
          <w:sz w:val="22"/>
          <w:szCs w:val="22"/>
        </w:rPr>
        <w:t xml:space="preserve">DCI triggering/requesting the reporting of HARQ feedback </w:t>
      </w:r>
      <w:r>
        <w:rPr>
          <w:rFonts w:eastAsia="游明朝"/>
          <w:b/>
          <w:sz w:val="22"/>
          <w:szCs w:val="22"/>
        </w:rPr>
        <w:t>includes</w:t>
      </w:r>
      <w:r w:rsidRPr="001A4018">
        <w:rPr>
          <w:rFonts w:eastAsia="游明朝"/>
          <w:b/>
          <w:sz w:val="22"/>
          <w:szCs w:val="22"/>
        </w:rPr>
        <w:t xml:space="preserve"> </w:t>
      </w:r>
      <w:r>
        <w:rPr>
          <w:rFonts w:eastAsia="游明朝"/>
          <w:b/>
          <w:sz w:val="22"/>
          <w:szCs w:val="22"/>
        </w:rPr>
        <w:t xml:space="preserve">a toggle bitmap of the </w:t>
      </w:r>
      <w:r w:rsidRPr="001A4018">
        <w:rPr>
          <w:rFonts w:eastAsia="游明朝"/>
          <w:b/>
          <w:sz w:val="22"/>
          <w:szCs w:val="22"/>
        </w:rPr>
        <w:t>feedback reception acknowledgement for every HARQ process</w:t>
      </w:r>
      <w:r>
        <w:rPr>
          <w:rFonts w:eastAsia="游明朝"/>
          <w:b/>
          <w:sz w:val="22"/>
          <w:szCs w:val="22"/>
        </w:rPr>
        <w:t>.</w:t>
      </w:r>
    </w:p>
    <w:p w14:paraId="0F1D8FAF" w14:textId="7BF776C0" w:rsidR="004A46E6" w:rsidRDefault="004A46E6" w:rsidP="004A46E6">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2</w:t>
      </w:r>
      <w:r>
        <w:rPr>
          <w:rFonts w:eastAsia="游明朝" w:hint="eastAsia"/>
          <w:b/>
          <w:sz w:val="22"/>
          <w:szCs w:val="22"/>
        </w:rPr>
        <w:t xml:space="preserve">: </w:t>
      </w:r>
      <w:r>
        <w:rPr>
          <w:rFonts w:eastAsia="游明朝"/>
          <w:b/>
          <w:sz w:val="22"/>
          <w:szCs w:val="22"/>
        </w:rPr>
        <w:t>For dynamic PDSCH HARQ-ACK codebook in NR-U, following potential enhancements are further studied.</w:t>
      </w:r>
    </w:p>
    <w:p w14:paraId="7C1DEC69" w14:textId="77777777" w:rsidR="004A46E6" w:rsidRDefault="004A46E6" w:rsidP="004A46E6">
      <w:pPr>
        <w:pStyle w:val="afc"/>
        <w:numPr>
          <w:ilvl w:val="0"/>
          <w:numId w:val="27"/>
        </w:numPr>
        <w:spacing w:afterLines="50" w:after="120"/>
        <w:ind w:leftChars="0"/>
        <w:jc w:val="both"/>
        <w:rPr>
          <w:rFonts w:eastAsia="游明朝"/>
          <w:b/>
          <w:sz w:val="22"/>
          <w:szCs w:val="22"/>
        </w:rPr>
      </w:pPr>
      <w:r>
        <w:rPr>
          <w:rFonts w:eastAsia="游明朝"/>
          <w:b/>
          <w:sz w:val="22"/>
          <w:szCs w:val="22"/>
        </w:rPr>
        <w:t>Support of a larger DAI field to accommodate for possibly missing equal to or more than 4 PDSCH transmissions</w:t>
      </w:r>
    </w:p>
    <w:p w14:paraId="23036F0F" w14:textId="77777777" w:rsidR="004A46E6" w:rsidRDefault="004A46E6" w:rsidP="004A46E6">
      <w:pPr>
        <w:pStyle w:val="afc"/>
        <w:numPr>
          <w:ilvl w:val="0"/>
          <w:numId w:val="27"/>
        </w:numPr>
        <w:spacing w:afterLines="50" w:after="120"/>
        <w:ind w:leftChars="0"/>
        <w:jc w:val="both"/>
        <w:rPr>
          <w:rFonts w:eastAsia="游明朝"/>
          <w:b/>
          <w:sz w:val="22"/>
          <w:szCs w:val="22"/>
        </w:rPr>
      </w:pPr>
      <w:r w:rsidRPr="00055785">
        <w:rPr>
          <w:rFonts w:eastAsia="游明朝"/>
          <w:b/>
          <w:sz w:val="22"/>
          <w:szCs w:val="22"/>
        </w:rPr>
        <w:t xml:space="preserve">In case that DCI triggers/requests reporting of HARQ feedback for earlier COT(s), dynamic HARQ-ACK codebook </w:t>
      </w:r>
      <w:r>
        <w:rPr>
          <w:rFonts w:eastAsia="游明朝"/>
          <w:b/>
          <w:sz w:val="22"/>
          <w:szCs w:val="22"/>
        </w:rPr>
        <w:t>determination</w:t>
      </w:r>
      <w:r w:rsidRPr="00055785">
        <w:rPr>
          <w:rFonts w:eastAsia="游明朝"/>
          <w:b/>
          <w:sz w:val="22"/>
          <w:szCs w:val="22"/>
        </w:rPr>
        <w:t xml:space="preserve"> without explicit HARQ process ID or ID group indication in the DCI</w:t>
      </w:r>
    </w:p>
    <w:p w14:paraId="55C8501D" w14:textId="77777777" w:rsidR="004A46E6" w:rsidRPr="00055785" w:rsidRDefault="004A46E6" w:rsidP="004A46E6">
      <w:pPr>
        <w:pStyle w:val="afc"/>
        <w:numPr>
          <w:ilvl w:val="0"/>
          <w:numId w:val="27"/>
        </w:numPr>
        <w:spacing w:afterLines="50" w:after="120"/>
        <w:ind w:leftChars="0"/>
        <w:jc w:val="both"/>
        <w:rPr>
          <w:rFonts w:eastAsia="游明朝"/>
          <w:b/>
          <w:sz w:val="22"/>
          <w:szCs w:val="22"/>
        </w:rPr>
      </w:pPr>
      <w:r>
        <w:rPr>
          <w:rFonts w:eastAsia="游明朝"/>
          <w:b/>
          <w:sz w:val="22"/>
          <w:szCs w:val="22"/>
        </w:rPr>
        <w:t xml:space="preserve">Introducing toggle bit in DCI to indicate whether </w:t>
      </w:r>
      <w:r w:rsidRPr="00055785">
        <w:rPr>
          <w:rFonts w:eastAsia="游明朝"/>
          <w:b/>
          <w:sz w:val="22"/>
          <w:szCs w:val="22"/>
        </w:rPr>
        <w:t xml:space="preserve">previous HARQ feedback was correctly received by </w:t>
      </w:r>
      <w:proofErr w:type="spellStart"/>
      <w:r w:rsidRPr="00055785">
        <w:rPr>
          <w:rFonts w:eastAsia="游明朝"/>
          <w:b/>
          <w:sz w:val="22"/>
          <w:szCs w:val="22"/>
        </w:rPr>
        <w:t>gNB</w:t>
      </w:r>
      <w:proofErr w:type="spellEnd"/>
      <w:r w:rsidRPr="00055785">
        <w:rPr>
          <w:rFonts w:eastAsia="游明朝"/>
          <w:b/>
          <w:sz w:val="22"/>
          <w:szCs w:val="22"/>
        </w:rPr>
        <w:t xml:space="preserve"> or not</w:t>
      </w:r>
    </w:p>
    <w:p w14:paraId="3F073EA4" w14:textId="77777777" w:rsidR="00EC7A8B" w:rsidRDefault="00EC7A8B" w:rsidP="00EC7A8B">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Pr>
          <w:rFonts w:eastAsia="游明朝"/>
          <w:b/>
          <w:sz w:val="22"/>
          <w:szCs w:val="22"/>
          <w:u w:val="single"/>
        </w:rPr>
        <w:t>3</w:t>
      </w:r>
      <w:r>
        <w:rPr>
          <w:rFonts w:eastAsia="游明朝" w:hint="eastAsia"/>
          <w:b/>
          <w:sz w:val="22"/>
          <w:szCs w:val="22"/>
        </w:rPr>
        <w:t xml:space="preserve">: </w:t>
      </w:r>
      <w:r>
        <w:rPr>
          <w:rFonts w:eastAsia="游明朝"/>
          <w:b/>
          <w:sz w:val="22"/>
          <w:szCs w:val="22"/>
        </w:rPr>
        <w:t>For multiple HARQ-ACK opportunities in frequency domain, following mechanisms are further considered.</w:t>
      </w:r>
    </w:p>
    <w:p w14:paraId="13FAE0D7" w14:textId="77777777" w:rsid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PUCCH, multiple PUCCH resources (in case of single wideband operation) and/or multiple PUCCH cells (in case of CA operation) </w:t>
      </w:r>
      <w:r>
        <w:rPr>
          <w:b/>
          <w:sz w:val="22"/>
          <w:szCs w:val="22"/>
        </w:rPr>
        <w:t>is/are</w:t>
      </w:r>
      <w:r w:rsidRPr="00EC7A8B">
        <w:rPr>
          <w:b/>
          <w:sz w:val="22"/>
          <w:szCs w:val="22"/>
        </w:rPr>
        <w:t xml:space="preserve"> configured</w:t>
      </w:r>
    </w:p>
    <w:p w14:paraId="1A90419E" w14:textId="77777777" w:rsidR="00EC7A8B" w:rsidRPr="00EC7A8B" w:rsidRDefault="00EC7A8B" w:rsidP="00EC7A8B">
      <w:pPr>
        <w:pStyle w:val="afc"/>
        <w:numPr>
          <w:ilvl w:val="0"/>
          <w:numId w:val="29"/>
        </w:numPr>
        <w:spacing w:afterLines="50" w:after="120"/>
        <w:ind w:leftChars="0"/>
        <w:rPr>
          <w:b/>
          <w:sz w:val="22"/>
          <w:szCs w:val="22"/>
        </w:rPr>
      </w:pPr>
      <w:r w:rsidRPr="00EC7A8B">
        <w:rPr>
          <w:b/>
          <w:sz w:val="22"/>
          <w:szCs w:val="22"/>
        </w:rPr>
        <w:t xml:space="preserve">For the case of HARQ-ACK on PUSCH, UCI including HARQ-ACK </w:t>
      </w:r>
      <w:r>
        <w:rPr>
          <w:b/>
          <w:sz w:val="22"/>
          <w:szCs w:val="22"/>
        </w:rPr>
        <w:t>is</w:t>
      </w:r>
      <w:r w:rsidRPr="00EC7A8B">
        <w:rPr>
          <w:b/>
          <w:sz w:val="22"/>
          <w:szCs w:val="22"/>
        </w:rPr>
        <w:t xml:space="preserve"> piggybacked on every PUSCH in different CC in case of CA operation</w:t>
      </w:r>
    </w:p>
    <w:p w14:paraId="5EC8BB39" w14:textId="5B499924" w:rsidR="00885C08" w:rsidRPr="00885C08" w:rsidRDefault="00885C08" w:rsidP="00885C08">
      <w:pPr>
        <w:spacing w:afterLines="50" w:after="120"/>
        <w:jc w:val="both"/>
        <w:rPr>
          <w:rFonts w:eastAsia="游明朝"/>
          <w:b/>
          <w:sz w:val="22"/>
          <w:szCs w:val="22"/>
        </w:rPr>
      </w:pPr>
      <w:r w:rsidRPr="00885C08">
        <w:rPr>
          <w:rFonts w:eastAsia="游明朝"/>
          <w:b/>
          <w:sz w:val="22"/>
          <w:szCs w:val="22"/>
          <w:u w:val="single"/>
        </w:rPr>
        <w:t>Proposal</w:t>
      </w:r>
      <w:r w:rsidRPr="00885C08">
        <w:rPr>
          <w:rFonts w:eastAsia="游明朝" w:hint="eastAsia"/>
          <w:b/>
          <w:sz w:val="22"/>
          <w:szCs w:val="22"/>
          <w:u w:val="single"/>
        </w:rPr>
        <w:t xml:space="preserve"> </w:t>
      </w:r>
      <w:r w:rsidR="00EC7A8B">
        <w:rPr>
          <w:rFonts w:eastAsia="游明朝"/>
          <w:b/>
          <w:sz w:val="22"/>
          <w:szCs w:val="22"/>
          <w:u w:val="single"/>
        </w:rPr>
        <w:t>4</w:t>
      </w:r>
      <w:r w:rsidRPr="00885C08">
        <w:rPr>
          <w:rFonts w:eastAsia="游明朝" w:hint="eastAsia"/>
          <w:b/>
          <w:sz w:val="22"/>
          <w:szCs w:val="22"/>
        </w:rPr>
        <w:t xml:space="preserve">: </w:t>
      </w:r>
      <w:r w:rsidRPr="00885C08">
        <w:rPr>
          <w:rFonts w:eastAsia="游明朝"/>
          <w:b/>
          <w:sz w:val="22"/>
          <w:szCs w:val="22"/>
        </w:rPr>
        <w:t>The channel access scheme for HARQ A/N transmission is indicated in the scheduling DCI.</w:t>
      </w:r>
    </w:p>
    <w:p w14:paraId="2EF178E5" w14:textId="104F66DA" w:rsidR="00885C08" w:rsidRDefault="00885C08" w:rsidP="00885C0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5</w:t>
      </w:r>
      <w:r>
        <w:rPr>
          <w:rFonts w:eastAsia="游明朝" w:hint="eastAsia"/>
          <w:b/>
          <w:sz w:val="22"/>
          <w:szCs w:val="22"/>
        </w:rPr>
        <w:t xml:space="preserve">: </w:t>
      </w:r>
      <w:r>
        <w:rPr>
          <w:rFonts w:eastAsia="游明朝"/>
          <w:b/>
          <w:sz w:val="22"/>
          <w:szCs w:val="22"/>
        </w:rPr>
        <w:t xml:space="preserve">The CP extension is performed at the beginning of UL transmission just after the gap from DL to UL within </w:t>
      </w:r>
      <w:proofErr w:type="spellStart"/>
      <w:r>
        <w:rPr>
          <w:rFonts w:eastAsia="游明朝"/>
          <w:b/>
          <w:sz w:val="22"/>
          <w:szCs w:val="22"/>
        </w:rPr>
        <w:t>gNB</w:t>
      </w:r>
      <w:proofErr w:type="spellEnd"/>
      <w:r>
        <w:rPr>
          <w:rFonts w:eastAsia="游明朝"/>
          <w:b/>
          <w:sz w:val="22"/>
          <w:szCs w:val="22"/>
        </w:rPr>
        <w:t>-initiated COT.</w:t>
      </w:r>
    </w:p>
    <w:p w14:paraId="5BF2A042" w14:textId="4EA6B0C3" w:rsidR="00885C08" w:rsidRDefault="00885C08" w:rsidP="00885C08">
      <w:pPr>
        <w:spacing w:afterLines="50" w:after="120"/>
        <w:jc w:val="both"/>
        <w:rPr>
          <w:rFonts w:eastAsia="游明朝"/>
          <w:b/>
          <w:sz w:val="22"/>
          <w:szCs w:val="22"/>
        </w:rPr>
      </w:pPr>
      <w:r>
        <w:rPr>
          <w:rFonts w:eastAsia="游明朝"/>
          <w:b/>
          <w:sz w:val="22"/>
          <w:szCs w:val="22"/>
          <w:u w:val="single"/>
        </w:rPr>
        <w:t>Proposal</w:t>
      </w:r>
      <w:r w:rsidRPr="001A2879">
        <w:rPr>
          <w:rFonts w:eastAsia="游明朝" w:hint="eastAsia"/>
          <w:b/>
          <w:sz w:val="22"/>
          <w:szCs w:val="22"/>
          <w:u w:val="single"/>
        </w:rPr>
        <w:t xml:space="preserve"> </w:t>
      </w:r>
      <w:r w:rsidR="00EC7A8B">
        <w:rPr>
          <w:rFonts w:eastAsia="游明朝"/>
          <w:b/>
          <w:sz w:val="22"/>
          <w:szCs w:val="22"/>
          <w:u w:val="single"/>
        </w:rPr>
        <w:t>6</w:t>
      </w:r>
      <w:r>
        <w:rPr>
          <w:rFonts w:eastAsia="游明朝" w:hint="eastAsia"/>
          <w:b/>
          <w:sz w:val="22"/>
          <w:szCs w:val="22"/>
        </w:rPr>
        <w:t xml:space="preserve">: </w:t>
      </w:r>
      <w:r>
        <w:rPr>
          <w:rFonts w:eastAsia="游明朝"/>
          <w:b/>
          <w:sz w:val="22"/>
          <w:szCs w:val="22"/>
        </w:rPr>
        <w:t xml:space="preserve">For Rel-16 NR-U, new value for </w:t>
      </w:r>
      <w:r w:rsidRPr="001F49EB">
        <w:rPr>
          <w:rFonts w:eastAsia="游明朝"/>
          <w:b/>
          <w:sz w:val="22"/>
          <w:szCs w:val="22"/>
        </w:rPr>
        <w:t>PDSCH-to-HARQ feedback timing indicator</w:t>
      </w:r>
      <w:r>
        <w:rPr>
          <w:rFonts w:eastAsia="游明朝"/>
          <w:b/>
          <w:sz w:val="22"/>
          <w:szCs w:val="22"/>
        </w:rPr>
        <w:t xml:space="preserve"> (i.e., extending the maximum value of </w:t>
      </w:r>
      <w:r w:rsidRPr="001F49EB">
        <w:rPr>
          <w:rFonts w:eastAsia="游明朝"/>
          <w:b/>
          <w:sz w:val="22"/>
          <w:szCs w:val="22"/>
        </w:rPr>
        <w:t>dl-</w:t>
      </w:r>
      <w:proofErr w:type="spellStart"/>
      <w:r w:rsidRPr="001F49EB">
        <w:rPr>
          <w:rFonts w:eastAsia="游明朝"/>
          <w:b/>
          <w:sz w:val="22"/>
          <w:szCs w:val="22"/>
        </w:rPr>
        <w:t>DataToUL</w:t>
      </w:r>
      <w:proofErr w:type="spellEnd"/>
      <w:r w:rsidRPr="001F49EB">
        <w:rPr>
          <w:rFonts w:eastAsia="游明朝"/>
          <w:b/>
          <w:sz w:val="22"/>
          <w:szCs w:val="22"/>
        </w:rPr>
        <w:t>-ACK</w:t>
      </w:r>
      <w:r>
        <w:rPr>
          <w:rFonts w:eastAsia="游明朝"/>
          <w:b/>
          <w:sz w:val="22"/>
          <w:szCs w:val="22"/>
        </w:rPr>
        <w:t xml:space="preserve"> from 15) is not supported for HARQ A/N transmission for corresponding data in the same shared COT, and the size of </w:t>
      </w:r>
      <w:r w:rsidRPr="001F49EB">
        <w:rPr>
          <w:rFonts w:eastAsia="游明朝"/>
          <w:b/>
          <w:sz w:val="22"/>
          <w:szCs w:val="22"/>
        </w:rPr>
        <w:t>PDSCH-to-HARQ feedback timing indicator</w:t>
      </w:r>
      <w:r>
        <w:rPr>
          <w:rFonts w:eastAsia="游明朝"/>
          <w:b/>
          <w:sz w:val="22"/>
          <w:szCs w:val="22"/>
        </w:rPr>
        <w:t xml:space="preserve"> field is same as in Rel-15.</w:t>
      </w:r>
    </w:p>
    <w:p w14:paraId="270E88F3" w14:textId="77777777" w:rsidR="00EC7A8B" w:rsidRDefault="00EC7A8B" w:rsidP="00EC7A8B">
      <w:pPr>
        <w:spacing w:afterLines="50" w:after="120"/>
        <w:jc w:val="both"/>
        <w:rPr>
          <w:rFonts w:eastAsia="游明朝"/>
          <w:b/>
          <w:sz w:val="22"/>
          <w:szCs w:val="22"/>
        </w:rPr>
      </w:pPr>
      <w:r w:rsidRPr="000E2A62">
        <w:rPr>
          <w:rFonts w:eastAsia="游明朝"/>
          <w:b/>
          <w:sz w:val="22"/>
          <w:szCs w:val="22"/>
          <w:u w:val="single"/>
        </w:rPr>
        <w:lastRenderedPageBreak/>
        <w:t>Proposal</w:t>
      </w:r>
      <w:r w:rsidRPr="000E2A62">
        <w:rPr>
          <w:rFonts w:eastAsia="游明朝" w:hint="eastAsia"/>
          <w:b/>
          <w:sz w:val="22"/>
          <w:szCs w:val="22"/>
          <w:u w:val="single"/>
        </w:rPr>
        <w:t xml:space="preserve"> </w:t>
      </w:r>
      <w:r>
        <w:rPr>
          <w:rFonts w:eastAsia="游明朝" w:hint="eastAsia"/>
          <w:b/>
          <w:sz w:val="22"/>
          <w:szCs w:val="22"/>
          <w:u w:val="single"/>
        </w:rPr>
        <w:t>7</w:t>
      </w:r>
      <w:r w:rsidRPr="000E2A62">
        <w:rPr>
          <w:rFonts w:eastAsia="游明朝" w:hint="eastAsia"/>
          <w:b/>
          <w:sz w:val="22"/>
          <w:szCs w:val="22"/>
        </w:rPr>
        <w:t xml:space="preserve">: </w:t>
      </w:r>
      <w:r>
        <w:rPr>
          <w:rFonts w:eastAsia="游明朝"/>
          <w:b/>
          <w:sz w:val="22"/>
          <w:szCs w:val="22"/>
        </w:rPr>
        <w:t xml:space="preserve">In case of CA between licensed NR </w:t>
      </w:r>
      <w:proofErr w:type="spellStart"/>
      <w:r>
        <w:rPr>
          <w:rFonts w:eastAsia="游明朝"/>
          <w:b/>
          <w:sz w:val="22"/>
          <w:szCs w:val="22"/>
        </w:rPr>
        <w:t>PCell</w:t>
      </w:r>
      <w:proofErr w:type="spellEnd"/>
      <w:r>
        <w:rPr>
          <w:rFonts w:eastAsia="游明朝"/>
          <w:b/>
          <w:sz w:val="22"/>
          <w:szCs w:val="22"/>
        </w:rPr>
        <w:t xml:space="preserve"> and unlicensed NR </w:t>
      </w:r>
      <w:proofErr w:type="spellStart"/>
      <w:r>
        <w:rPr>
          <w:rFonts w:eastAsia="游明朝"/>
          <w:b/>
          <w:sz w:val="22"/>
          <w:szCs w:val="22"/>
        </w:rPr>
        <w:t>SCell</w:t>
      </w:r>
      <w:proofErr w:type="spellEnd"/>
      <w:r>
        <w:rPr>
          <w:rFonts w:eastAsia="游明朝"/>
          <w:b/>
          <w:sz w:val="22"/>
          <w:szCs w:val="22"/>
        </w:rPr>
        <w:t>, UCI regarding licensed NR carrier(s) is always sent on licensed NR carrier</w:t>
      </w:r>
      <w:r w:rsidRPr="000E2A62">
        <w:rPr>
          <w:rFonts w:eastAsia="游明朝"/>
          <w:b/>
          <w:sz w:val="22"/>
          <w:szCs w:val="22"/>
        </w:rPr>
        <w:t>.</w:t>
      </w:r>
    </w:p>
    <w:p w14:paraId="73A8951C" w14:textId="77777777" w:rsidR="00EC7A8B" w:rsidRPr="00D27C88" w:rsidRDefault="00EC7A8B" w:rsidP="00EC7A8B">
      <w:pPr>
        <w:pStyle w:val="afc"/>
        <w:numPr>
          <w:ilvl w:val="0"/>
          <w:numId w:val="26"/>
        </w:numPr>
        <w:spacing w:afterLines="50" w:after="120"/>
        <w:ind w:leftChars="0"/>
        <w:jc w:val="both"/>
        <w:rPr>
          <w:rFonts w:eastAsia="游明朝"/>
          <w:b/>
          <w:sz w:val="22"/>
          <w:szCs w:val="22"/>
        </w:rPr>
      </w:pPr>
      <w:r>
        <w:rPr>
          <w:rFonts w:eastAsia="游明朝" w:hint="eastAsia"/>
          <w:b/>
          <w:sz w:val="22"/>
          <w:szCs w:val="22"/>
        </w:rPr>
        <w:t xml:space="preserve">For </w:t>
      </w:r>
      <w:r>
        <w:rPr>
          <w:rFonts w:eastAsia="游明朝"/>
          <w:b/>
          <w:sz w:val="22"/>
          <w:szCs w:val="22"/>
        </w:rPr>
        <w:t xml:space="preserve">PUSCH </w:t>
      </w:r>
      <w:r>
        <w:rPr>
          <w:rFonts w:eastAsia="游明朝" w:hint="eastAsia"/>
          <w:b/>
          <w:sz w:val="22"/>
          <w:szCs w:val="22"/>
        </w:rPr>
        <w:t xml:space="preserve">transmission on unlicensed NR </w:t>
      </w:r>
      <w:proofErr w:type="spellStart"/>
      <w:r>
        <w:rPr>
          <w:rFonts w:eastAsia="游明朝" w:hint="eastAsia"/>
          <w:b/>
          <w:sz w:val="22"/>
          <w:szCs w:val="22"/>
        </w:rPr>
        <w:t>SCell</w:t>
      </w:r>
      <w:proofErr w:type="spellEnd"/>
      <w:r>
        <w:rPr>
          <w:rFonts w:eastAsia="游明朝" w:hint="eastAsia"/>
          <w:b/>
          <w:sz w:val="22"/>
          <w:szCs w:val="22"/>
        </w:rPr>
        <w:t xml:space="preserve"> </w:t>
      </w:r>
      <w:r>
        <w:rPr>
          <w:rFonts w:eastAsia="游明朝"/>
          <w:b/>
          <w:sz w:val="22"/>
          <w:szCs w:val="22"/>
        </w:rPr>
        <w:t xml:space="preserve">in the scenario, simultaneous transmission with PUCCH on licensed NR </w:t>
      </w:r>
      <w:proofErr w:type="spellStart"/>
      <w:r>
        <w:rPr>
          <w:rFonts w:eastAsia="游明朝"/>
          <w:b/>
          <w:sz w:val="22"/>
          <w:szCs w:val="22"/>
        </w:rPr>
        <w:t>PCell</w:t>
      </w:r>
      <w:proofErr w:type="spellEnd"/>
      <w:r>
        <w:rPr>
          <w:rFonts w:eastAsia="游明朝"/>
          <w:b/>
          <w:sz w:val="22"/>
          <w:szCs w:val="22"/>
        </w:rPr>
        <w:t xml:space="preserve"> is necessary.</w:t>
      </w:r>
    </w:p>
    <w:p w14:paraId="7CC98230" w14:textId="77777777" w:rsidR="008D1885" w:rsidRPr="00EC7A8B" w:rsidRDefault="008D1885" w:rsidP="000C5DD6">
      <w:pPr>
        <w:jc w:val="both"/>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5B87457" w14:textId="4A394312" w:rsidR="00C97EF7" w:rsidRPr="00C97EF7" w:rsidRDefault="00C97EF7" w:rsidP="00C97EF7">
      <w:pPr>
        <w:pStyle w:val="afc"/>
        <w:numPr>
          <w:ilvl w:val="0"/>
          <w:numId w:val="4"/>
        </w:numPr>
        <w:spacing w:afterLines="50" w:after="120"/>
        <w:ind w:leftChars="0"/>
        <w:jc w:val="both"/>
        <w:rPr>
          <w:rFonts w:eastAsia="ＭＳ 明朝"/>
          <w:sz w:val="22"/>
        </w:rPr>
      </w:pPr>
      <w:r w:rsidRPr="00571AD2">
        <w:rPr>
          <w:rFonts w:eastAsia="ＭＳ 明朝"/>
          <w:sz w:val="22"/>
        </w:rPr>
        <w:t>3GPP</w:t>
      </w:r>
      <w:r w:rsidR="000E2A62">
        <w:rPr>
          <w:rFonts w:eastAsia="ＭＳ 明朝"/>
          <w:sz w:val="22"/>
        </w:rPr>
        <w:t>, RAN1#96</w:t>
      </w:r>
      <w:r>
        <w:rPr>
          <w:rFonts w:eastAsia="ＭＳ 明朝"/>
          <w:sz w:val="22"/>
        </w:rPr>
        <w:t xml:space="preserve">, </w:t>
      </w:r>
      <w:r w:rsidRPr="00D21CF6">
        <w:rPr>
          <w:rFonts w:eastAsia="ＭＳ 明朝"/>
          <w:sz w:val="22"/>
        </w:rPr>
        <w:t>RAN1 Chairman’s Notes</w:t>
      </w:r>
      <w:r w:rsidR="000E2A62">
        <w:rPr>
          <w:rFonts w:eastAsia="ＭＳ 明朝"/>
          <w:sz w:val="22"/>
        </w:rPr>
        <w:t>, Feb</w:t>
      </w:r>
      <w:r>
        <w:rPr>
          <w:rFonts w:eastAsia="ＭＳ 明朝"/>
          <w:sz w:val="22"/>
        </w:rPr>
        <w:t>. 2019.</w:t>
      </w:r>
    </w:p>
    <w:p w14:paraId="42AE10F4" w14:textId="4D05F503" w:rsidR="00D27C88" w:rsidRPr="00C97EF7" w:rsidRDefault="00D27C88" w:rsidP="00D27C88">
      <w:pPr>
        <w:pStyle w:val="afc"/>
        <w:numPr>
          <w:ilvl w:val="0"/>
          <w:numId w:val="4"/>
        </w:numPr>
        <w:spacing w:afterLines="50" w:after="120"/>
        <w:ind w:leftChars="0"/>
        <w:jc w:val="both"/>
        <w:rPr>
          <w:rFonts w:eastAsia="ＭＳ 明朝"/>
          <w:sz w:val="22"/>
        </w:rPr>
      </w:pPr>
      <w:r w:rsidRPr="00571AD2">
        <w:rPr>
          <w:rFonts w:eastAsia="ＭＳ 明朝"/>
          <w:sz w:val="22"/>
        </w:rPr>
        <w:t>3GPP</w:t>
      </w:r>
      <w:r>
        <w:rPr>
          <w:rFonts w:eastAsia="ＭＳ 明朝"/>
          <w:sz w:val="22"/>
        </w:rPr>
        <w:t xml:space="preserve">, RAN1#NR-AH1901, </w:t>
      </w:r>
      <w:r w:rsidRPr="00D21CF6">
        <w:rPr>
          <w:rFonts w:eastAsia="ＭＳ 明朝"/>
          <w:sz w:val="22"/>
        </w:rPr>
        <w:t>RAN1 Chairman’s Notes</w:t>
      </w:r>
      <w:r>
        <w:rPr>
          <w:rFonts w:eastAsia="ＭＳ 明朝"/>
          <w:sz w:val="22"/>
        </w:rPr>
        <w:t>, Jan. 2019.</w:t>
      </w:r>
    </w:p>
    <w:p w14:paraId="7822518B" w14:textId="1F1BCE85" w:rsidR="009517C5" w:rsidRDefault="00484F06" w:rsidP="009517C5">
      <w:pPr>
        <w:pStyle w:val="afc"/>
        <w:numPr>
          <w:ilvl w:val="0"/>
          <w:numId w:val="4"/>
        </w:numPr>
        <w:spacing w:afterLines="50" w:after="120"/>
        <w:ind w:leftChars="0"/>
        <w:jc w:val="both"/>
        <w:rPr>
          <w:rFonts w:eastAsia="ＭＳ 明朝"/>
          <w:sz w:val="22"/>
        </w:rPr>
      </w:pPr>
      <w:r>
        <w:rPr>
          <w:rFonts w:eastAsia="ＭＳ 明朝" w:hint="eastAsia"/>
          <w:sz w:val="22"/>
        </w:rPr>
        <w:t>3GPP, TR38.889</w:t>
      </w:r>
      <w:r w:rsidR="00E949B3">
        <w:rPr>
          <w:rFonts w:eastAsia="ＭＳ 明朝" w:hint="eastAsia"/>
          <w:sz w:val="22"/>
        </w:rPr>
        <w:t xml:space="preserve"> v1.0.0, Dec</w:t>
      </w:r>
      <w:r w:rsidR="009517C5">
        <w:rPr>
          <w:rFonts w:eastAsia="ＭＳ 明朝" w:hint="eastAsia"/>
          <w:sz w:val="22"/>
        </w:rPr>
        <w:t>. 2018.</w:t>
      </w:r>
    </w:p>
    <w:p w14:paraId="08CE8D60" w14:textId="2EECE9CC" w:rsidR="009F75FD" w:rsidRDefault="009F75FD" w:rsidP="009F75FD">
      <w:pPr>
        <w:pStyle w:val="afc"/>
        <w:numPr>
          <w:ilvl w:val="0"/>
          <w:numId w:val="4"/>
        </w:numPr>
        <w:spacing w:afterLines="50" w:after="120"/>
        <w:ind w:leftChars="0"/>
        <w:jc w:val="both"/>
        <w:rPr>
          <w:rFonts w:eastAsia="ＭＳ 明朝"/>
          <w:sz w:val="22"/>
        </w:rPr>
      </w:pPr>
      <w:r>
        <w:rPr>
          <w:rFonts w:eastAsia="ＭＳ 明朝"/>
          <w:sz w:val="22"/>
        </w:rPr>
        <w:t>3GPP, R1-1902885, Ericsson, “</w:t>
      </w:r>
      <w:r w:rsidRPr="009F75FD">
        <w:rPr>
          <w:rFonts w:eastAsia="ＭＳ 明朝"/>
          <w:sz w:val="22"/>
        </w:rPr>
        <w:t>Potential HARQ enhancements for NR-U</w:t>
      </w:r>
      <w:r>
        <w:rPr>
          <w:rFonts w:eastAsia="ＭＳ 明朝"/>
          <w:sz w:val="22"/>
        </w:rPr>
        <w:t>,” Feb. 2019.</w:t>
      </w:r>
    </w:p>
    <w:sectPr w:rsidR="009F75FD">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074B14" w14:textId="77777777" w:rsidR="00660937" w:rsidRDefault="00660937">
      <w:r>
        <w:separator/>
      </w:r>
    </w:p>
  </w:endnote>
  <w:endnote w:type="continuationSeparator" w:id="0">
    <w:p w14:paraId="75837C97" w14:textId="77777777" w:rsidR="00660937" w:rsidRDefault="00660937">
      <w:r>
        <w:continuationSeparator/>
      </w:r>
    </w:p>
  </w:endnote>
  <w:endnote w:type="continuationNotice" w:id="1">
    <w:p w14:paraId="1B169121" w14:textId="77777777" w:rsidR="00660937" w:rsidRDefault="00660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l‚r –¾’©"/>
    <w:panose1 w:val="02020609040205080304"/>
    <w:charset w:val="80"/>
    <w:family w:val="roma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l‚r ƒSƒVƒbƒ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¾’©"/>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Malgun Gothic"/>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5C9493" w14:textId="22DBD023"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90E9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90E98">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9029FE" w14:textId="77777777" w:rsidR="00660937" w:rsidRDefault="00660937">
      <w:r>
        <w:separator/>
      </w:r>
    </w:p>
  </w:footnote>
  <w:footnote w:type="continuationSeparator" w:id="0">
    <w:p w14:paraId="0B93B64D" w14:textId="77777777" w:rsidR="00660937" w:rsidRDefault="00660937">
      <w:r>
        <w:continuationSeparator/>
      </w:r>
    </w:p>
  </w:footnote>
  <w:footnote w:type="continuationNotice" w:id="1">
    <w:p w14:paraId="795527D4" w14:textId="77777777" w:rsidR="00660937" w:rsidRDefault="00660937"/>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62271C"/>
    <w:multiLevelType w:val="hybridMultilevel"/>
    <w:tmpl w:val="2AF43E0A"/>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F376969"/>
    <w:multiLevelType w:val="hybridMultilevel"/>
    <w:tmpl w:val="5CF493C6"/>
    <w:lvl w:ilvl="0" w:tplc="E514CA34">
      <w:numFmt w:val="bullet"/>
      <w:lvlText w:val="・"/>
      <w:lvlJc w:val="left"/>
      <w:pPr>
        <w:ind w:left="420" w:hanging="420"/>
      </w:pPr>
      <w:rPr>
        <w:rFonts w:ascii="ＭＳ 明朝" w:eastAsia="ＭＳ 明朝" w:hAnsi="ＭＳ 明朝" w:cs="ＭＳ 明朝"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72778F3"/>
    <w:multiLevelType w:val="hybridMultilevel"/>
    <w:tmpl w:val="92BCC0EA"/>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500F57"/>
    <w:multiLevelType w:val="hybridMultilevel"/>
    <w:tmpl w:val="06065A8A"/>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8532DF3"/>
    <w:multiLevelType w:val="hybridMultilevel"/>
    <w:tmpl w:val="EA82FB8C"/>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EE5842"/>
    <w:multiLevelType w:val="hybridMultilevel"/>
    <w:tmpl w:val="29725B2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26389"/>
    <w:multiLevelType w:val="hybridMultilevel"/>
    <w:tmpl w:val="8AF44014"/>
    <w:lvl w:ilvl="0" w:tplc="DF044B64">
      <w:start w:val="1"/>
      <w:numFmt w:val="bullet"/>
      <w:lvlText w:val="•"/>
      <w:lvlJc w:val="left"/>
      <w:pPr>
        <w:ind w:left="420" w:hanging="420"/>
      </w:pPr>
      <w:rPr>
        <w:rFonts w:ascii="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16" w15:restartNumberingAfterBreak="0">
    <w:nsid w:val="4B537CB2"/>
    <w:multiLevelType w:val="hybridMultilevel"/>
    <w:tmpl w:val="FCF84B38"/>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FEE1D86"/>
    <w:multiLevelType w:val="hybridMultilevel"/>
    <w:tmpl w:val="BDDC2A8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53C15D8"/>
    <w:multiLevelType w:val="hybridMultilevel"/>
    <w:tmpl w:val="68CCBF64"/>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61F83B11"/>
    <w:multiLevelType w:val="hybridMultilevel"/>
    <w:tmpl w:val="8DBC0C3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692E66C1"/>
    <w:multiLevelType w:val="hybridMultilevel"/>
    <w:tmpl w:val="829C0D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6572680"/>
    <w:multiLevelType w:val="hybridMultilevel"/>
    <w:tmpl w:val="77685C26"/>
    <w:lvl w:ilvl="0" w:tplc="DBC0D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373CF4"/>
    <w:multiLevelType w:val="hybridMultilevel"/>
    <w:tmpl w:val="5F2C85E8"/>
    <w:lvl w:ilvl="0" w:tplc="DBC0D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8528A7"/>
    <w:multiLevelType w:val="hybridMultilevel"/>
    <w:tmpl w:val="9452A386"/>
    <w:lvl w:ilvl="0" w:tplc="E514CA34">
      <w:numFmt w:val="bullet"/>
      <w:lvlText w:val="・"/>
      <w:lvlJc w:val="left"/>
      <w:pPr>
        <w:ind w:left="420" w:hanging="420"/>
      </w:pPr>
      <w:rPr>
        <w:rFonts w:ascii="ＭＳ 明朝" w:eastAsia="ＭＳ 明朝" w:hAnsi="ＭＳ 明朝" w:cs="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E234878"/>
    <w:multiLevelType w:val="hybridMultilevel"/>
    <w:tmpl w:val="E250BDE0"/>
    <w:lvl w:ilvl="0" w:tplc="81D8CC46">
      <w:numFmt w:val="bullet"/>
      <w:lvlText w:val="•"/>
      <w:lvlJc w:val="left"/>
      <w:pPr>
        <w:ind w:left="420" w:hanging="420"/>
      </w:pPr>
      <w:rPr>
        <w:rFonts w:ascii="Arial" w:eastAsia="Times New Rom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1"/>
  </w:num>
  <w:num w:numId="3">
    <w:abstractNumId w:val="12"/>
  </w:num>
  <w:num w:numId="4">
    <w:abstractNumId w:val="6"/>
  </w:num>
  <w:num w:numId="5">
    <w:abstractNumId w:val="26"/>
  </w:num>
  <w:num w:numId="6">
    <w:abstractNumId w:val="19"/>
  </w:num>
  <w:num w:numId="7">
    <w:abstractNumId w:val="24"/>
  </w:num>
  <w:num w:numId="8">
    <w:abstractNumId w:val="3"/>
  </w:num>
  <w:num w:numId="9">
    <w:abstractNumId w:val="15"/>
  </w:num>
  <w:num w:numId="10">
    <w:abstractNumId w:val="9"/>
  </w:num>
  <w:num w:numId="11">
    <w:abstractNumId w:val="20"/>
  </w:num>
  <w:num w:numId="12">
    <w:abstractNumId w:val="23"/>
  </w:num>
  <w:num w:numId="13">
    <w:abstractNumId w:val="22"/>
  </w:num>
  <w:num w:numId="14">
    <w:abstractNumId w:val="2"/>
  </w:num>
  <w:num w:numId="15">
    <w:abstractNumId w:val="16"/>
  </w:num>
  <w:num w:numId="16">
    <w:abstractNumId w:val="7"/>
  </w:num>
  <w:num w:numId="17">
    <w:abstractNumId w:val="27"/>
  </w:num>
  <w:num w:numId="18">
    <w:abstractNumId w:val="10"/>
  </w:num>
  <w:num w:numId="19">
    <w:abstractNumId w:val="8"/>
  </w:num>
  <w:num w:numId="20">
    <w:abstractNumId w:val="4"/>
  </w:num>
  <w:num w:numId="21">
    <w:abstractNumId w:val="14"/>
  </w:num>
  <w:num w:numId="22">
    <w:abstractNumId w:val="13"/>
  </w:num>
  <w:num w:numId="23">
    <w:abstractNumId w:val="25"/>
  </w:num>
  <w:num w:numId="24">
    <w:abstractNumId w:val="17"/>
  </w:num>
  <w:num w:numId="25">
    <w:abstractNumId w:val="5"/>
  </w:num>
  <w:num w:numId="26">
    <w:abstractNumId w:val="11"/>
  </w:num>
  <w:num w:numId="27">
    <w:abstractNumId w:val="18"/>
  </w:num>
  <w:num w:numId="28">
    <w:abstractNumId w:val="28"/>
  </w:num>
  <w:num w:numId="2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1135"/>
    <w:rsid w:val="0022207C"/>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6F3"/>
    <w:rsid w:val="002769DB"/>
    <w:rsid w:val="002769FD"/>
    <w:rsid w:val="00276C59"/>
    <w:rsid w:val="00276E60"/>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E5F"/>
    <w:rsid w:val="00362A68"/>
    <w:rsid w:val="00362D1E"/>
    <w:rsid w:val="003633C9"/>
    <w:rsid w:val="00363503"/>
    <w:rsid w:val="0036440B"/>
    <w:rsid w:val="00364414"/>
    <w:rsid w:val="003646FE"/>
    <w:rsid w:val="0036482F"/>
    <w:rsid w:val="00364890"/>
    <w:rsid w:val="00364C92"/>
    <w:rsid w:val="0036506C"/>
    <w:rsid w:val="003654B4"/>
    <w:rsid w:val="003656ED"/>
    <w:rsid w:val="00365829"/>
    <w:rsid w:val="00365CAB"/>
    <w:rsid w:val="00365F8A"/>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C20"/>
    <w:rsid w:val="00573DA3"/>
    <w:rsid w:val="00574306"/>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24B"/>
    <w:rsid w:val="007263D7"/>
    <w:rsid w:val="00726475"/>
    <w:rsid w:val="007266E5"/>
    <w:rsid w:val="00726FDF"/>
    <w:rsid w:val="00727101"/>
    <w:rsid w:val="007278B7"/>
    <w:rsid w:val="00727B67"/>
    <w:rsid w:val="0073013F"/>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D2E"/>
    <w:rsid w:val="00840E65"/>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66C"/>
    <w:rsid w:val="00844C6D"/>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834"/>
    <w:rsid w:val="009809E7"/>
    <w:rsid w:val="00980EF2"/>
    <w:rsid w:val="009814E3"/>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0"/>
    <w:rsid w:val="00B84A69"/>
    <w:rsid w:val="00B84EAC"/>
    <w:rsid w:val="00B850A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8"/>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5600A-07F6-4440-BEAD-83AFDBD8B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2849</Words>
  <Characters>16243</Characters>
  <Application>Microsoft Office Word</Application>
  <DocSecurity>0</DocSecurity>
  <Lines>135</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Hiroki Harada</cp:lastModifiedBy>
  <cp:revision>3</cp:revision>
  <cp:lastPrinted>2017-08-09T04:40:00Z</cp:lastPrinted>
  <dcterms:created xsi:type="dcterms:W3CDTF">2019-03-29T08:27:00Z</dcterms:created>
  <dcterms:modified xsi:type="dcterms:W3CDTF">2019-03-29T08:27:00Z</dcterms:modified>
</cp:coreProperties>
</file>